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B11488" w14:textId="216CB85B" w:rsidR="008909F4" w:rsidRPr="00D87CE0" w:rsidRDefault="00C321D5" w:rsidP="00F72326">
      <w:pPr>
        <w:jc w:val="center"/>
        <w:rPr>
          <w:rFonts w:ascii="Arial" w:hAnsi="Arial" w:cs="Arial"/>
          <w:b/>
          <w:bCs/>
          <w:color w:val="0B5294" w:themeColor="accent1" w:themeShade="BF"/>
          <w:sz w:val="56"/>
          <w:szCs w:val="56"/>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23C28E98">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00B677D5" w:rsidRPr="00D87CE0">
        <w:rPr>
          <w:rFonts w:ascii="Arial" w:hAnsi="Arial" w:cs="Arial"/>
          <w:b/>
          <w:bCs/>
          <w:color w:val="0B5294" w:themeColor="accent1" w:themeShade="BF"/>
          <w:sz w:val="56"/>
          <w:szCs w:val="56"/>
        </w:rPr>
        <w:t>INTEGROVANÝ REGIONÁLNÍ OPERAČNÍ PROGRAM</w:t>
      </w:r>
    </w:p>
    <w:p w14:paraId="7BED6716" w14:textId="3B4D9588" w:rsidR="00B677D5" w:rsidRPr="00D32E25" w:rsidRDefault="00B677D5" w:rsidP="00D32E25">
      <w:pPr>
        <w:spacing w:before="120" w:after="120" w:line="240" w:lineRule="auto"/>
        <w:jc w:val="center"/>
        <w:rPr>
          <w:rFonts w:ascii="Arial" w:hAnsi="Arial" w:cs="Arial"/>
          <w:b/>
          <w:bCs/>
          <w:color w:val="0B5294" w:themeColor="accent1" w:themeShade="BF"/>
          <w:sz w:val="48"/>
          <w:szCs w:val="48"/>
        </w:rPr>
      </w:pPr>
      <w:r w:rsidRPr="00D32E25">
        <w:rPr>
          <w:rFonts w:ascii="Arial" w:hAnsi="Arial" w:cs="Arial"/>
          <w:b/>
          <w:bCs/>
          <w:color w:val="0B5294" w:themeColor="accent1" w:themeShade="BF"/>
          <w:sz w:val="48"/>
          <w:szCs w:val="48"/>
        </w:rPr>
        <w:t>2021</w:t>
      </w:r>
      <w:r w:rsidR="002B181D" w:rsidRPr="00D32E25">
        <w:rPr>
          <w:rFonts w:ascii="Arial" w:eastAsia="SimSun" w:hAnsi="Arial" w:cs="Arial"/>
          <w:b/>
          <w:bCs/>
          <w:color w:val="2F5496"/>
          <w:sz w:val="48"/>
          <w:szCs w:val="48"/>
          <w:lang w:eastAsia="zh-CN"/>
        </w:rPr>
        <w:t>–</w:t>
      </w:r>
      <w:r w:rsidRPr="00D32E25">
        <w:rPr>
          <w:rFonts w:ascii="Arial" w:hAnsi="Arial" w:cs="Arial"/>
          <w:b/>
          <w:bCs/>
          <w:color w:val="0B5294" w:themeColor="accent1" w:themeShade="BF"/>
          <w:sz w:val="48"/>
          <w:szCs w:val="48"/>
        </w:rPr>
        <w:t>2027</w:t>
      </w:r>
    </w:p>
    <w:p w14:paraId="4ABB58BD" w14:textId="61C81D9E" w:rsidR="00C321D5" w:rsidRPr="00D87CE0" w:rsidRDefault="008909F4" w:rsidP="00F72326">
      <w:pPr>
        <w:pStyle w:val="Zkladnodstavec"/>
        <w:spacing w:before="360" w:line="312" w:lineRule="auto"/>
        <w:jc w:val="center"/>
        <w:rPr>
          <w:rFonts w:ascii="Arial" w:hAnsi="Arial" w:cs="Arial"/>
          <w:b/>
          <w:bCs/>
          <w:color w:val="0B5294" w:themeColor="accent1" w:themeShade="BF"/>
          <w:sz w:val="56"/>
          <w:szCs w:val="56"/>
        </w:rPr>
      </w:pPr>
      <w:r w:rsidRPr="00D87CE0">
        <w:rPr>
          <w:rFonts w:ascii="Arial" w:hAnsi="Arial" w:cs="Arial"/>
          <w:b/>
          <w:bCs/>
          <w:color w:val="0B5294" w:themeColor="accent1" w:themeShade="BF"/>
          <w:sz w:val="56"/>
          <w:szCs w:val="56"/>
        </w:rPr>
        <w:t>SPECIFICKÁ PRAVIDLA PRO ŽADATELE A PŘÍJEMCE</w:t>
      </w:r>
    </w:p>
    <w:p w14:paraId="3190866E" w14:textId="4342A0A8" w:rsidR="00E739D1" w:rsidRPr="0020369D" w:rsidRDefault="00E739D1" w:rsidP="00F72326">
      <w:pPr>
        <w:pStyle w:val="Zkladnodstavec"/>
        <w:spacing w:before="240" w:line="26" w:lineRule="atLeast"/>
        <w:jc w:val="center"/>
        <w:rPr>
          <w:rFonts w:ascii="Arial" w:hAnsi="Arial" w:cs="Arial"/>
          <w:b/>
          <w:bCs/>
          <w:color w:val="0B5294" w:themeColor="accent1" w:themeShade="BF"/>
          <w:sz w:val="44"/>
          <w:szCs w:val="44"/>
        </w:rPr>
      </w:pPr>
      <w:r w:rsidRPr="0020369D">
        <w:rPr>
          <w:rFonts w:ascii="Arial" w:hAnsi="Arial" w:cs="Arial"/>
          <w:b/>
          <w:bCs/>
          <w:color w:val="0B5294" w:themeColor="accent1" w:themeShade="BF"/>
          <w:sz w:val="44"/>
          <w:szCs w:val="44"/>
        </w:rPr>
        <w:t xml:space="preserve">PŘÍLOHA </w:t>
      </w:r>
      <w:r w:rsidR="008B3DB3">
        <w:rPr>
          <w:rFonts w:ascii="Arial" w:hAnsi="Arial" w:cs="Arial"/>
          <w:b/>
          <w:bCs/>
          <w:color w:val="0B5294" w:themeColor="accent1" w:themeShade="BF"/>
          <w:sz w:val="44"/>
          <w:szCs w:val="44"/>
        </w:rPr>
        <w:t>1</w:t>
      </w:r>
      <w:r w:rsidR="00981E88">
        <w:rPr>
          <w:rFonts w:ascii="Arial" w:hAnsi="Arial" w:cs="Arial"/>
          <w:b/>
          <w:bCs/>
          <w:color w:val="0B5294" w:themeColor="accent1" w:themeShade="BF"/>
          <w:sz w:val="44"/>
          <w:szCs w:val="44"/>
        </w:rPr>
        <w:t>7</w:t>
      </w:r>
    </w:p>
    <w:p w14:paraId="4C5BEEFC" w14:textId="49266AA7" w:rsidR="00C321D5" w:rsidRPr="003465E1" w:rsidRDefault="008B3DB3" w:rsidP="0020369D">
      <w:pPr>
        <w:pStyle w:val="Zkladnodstavec"/>
        <w:spacing w:before="360" w:line="26" w:lineRule="atLeast"/>
        <w:ind w:firstLine="709"/>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POSTUP AGENTURY PRO SOCIÁLNÍ ZAČLEŇOVÁNÍ PŘI VYDÁVÁNÍ STANOVISKA</w:t>
      </w:r>
    </w:p>
    <w:p w14:paraId="15F32E31" w14:textId="77777777" w:rsidR="00504801" w:rsidRDefault="00504801" w:rsidP="002F0B67">
      <w:pPr>
        <w:pStyle w:val="Zkladnodstavec"/>
        <w:jc w:val="center"/>
        <w:rPr>
          <w:rFonts w:ascii="Arial" w:hAnsi="Arial" w:cs="Arial"/>
          <w:caps/>
          <w:color w:val="auto"/>
          <w:sz w:val="28"/>
          <w:szCs w:val="28"/>
        </w:rPr>
      </w:pPr>
    </w:p>
    <w:p w14:paraId="3C1C24A1" w14:textId="6C806D6F" w:rsidR="002F0B67" w:rsidRDefault="00AB2996" w:rsidP="002F0B67">
      <w:pPr>
        <w:pStyle w:val="Zkladnodstavec"/>
        <w:jc w:val="center"/>
        <w:rPr>
          <w:rFonts w:ascii="Arial" w:hAnsi="Arial" w:cs="Arial"/>
          <w:caps/>
          <w:color w:val="auto"/>
          <w:sz w:val="28"/>
          <w:szCs w:val="28"/>
        </w:rPr>
      </w:pPr>
      <w:r w:rsidRPr="00AB2996">
        <w:rPr>
          <w:rFonts w:ascii="Arial" w:hAnsi="Arial" w:cs="Arial"/>
          <w:caps/>
          <w:color w:val="auto"/>
          <w:sz w:val="28"/>
          <w:szCs w:val="28"/>
        </w:rPr>
        <w:t>38. VÝZVA IROP – SOCIÁLNÍ BYDLENÍ</w:t>
      </w:r>
      <w:r w:rsidR="00504801">
        <w:rPr>
          <w:rFonts w:ascii="Arial" w:hAnsi="Arial" w:cs="Arial"/>
          <w:caps/>
          <w:color w:val="auto"/>
          <w:sz w:val="28"/>
          <w:szCs w:val="28"/>
        </w:rPr>
        <w:t xml:space="preserve"> </w:t>
      </w:r>
      <w:r w:rsidRPr="00AB2996">
        <w:rPr>
          <w:rFonts w:ascii="Arial" w:hAnsi="Arial" w:cs="Arial"/>
          <w:caps/>
          <w:color w:val="auto"/>
          <w:sz w:val="28"/>
          <w:szCs w:val="28"/>
        </w:rPr>
        <w:t>– SC 4.2 (ITI)</w:t>
      </w:r>
    </w:p>
    <w:p w14:paraId="62F13C52" w14:textId="77777777" w:rsidR="00504801" w:rsidRDefault="00504801" w:rsidP="0028208C">
      <w:pPr>
        <w:jc w:val="center"/>
        <w:rPr>
          <w:rFonts w:ascii="Arial" w:hAnsi="Arial" w:cs="Arial"/>
          <w:caps/>
          <w:color w:val="7F7F7F" w:themeColor="text1" w:themeTint="80"/>
          <w:sz w:val="24"/>
          <w:szCs w:val="24"/>
        </w:rPr>
      </w:pPr>
    </w:p>
    <w:p w14:paraId="38C9C578" w14:textId="260D2FD8" w:rsidR="00356501" w:rsidRDefault="0028208C" w:rsidP="0028208C">
      <w:pPr>
        <w:jc w:val="center"/>
        <w:rPr>
          <w:rFonts w:ascii="Arial" w:hAnsi="Arial" w:cs="Arial"/>
          <w:caps/>
          <w:color w:val="7F7F7F" w:themeColor="text1" w:themeTint="80"/>
          <w:sz w:val="32"/>
          <w:szCs w:val="32"/>
        </w:rPr>
        <w:sectPr w:rsidR="00356501" w:rsidSect="008F7D9B">
          <w:headerReference w:type="default" r:id="rId12"/>
          <w:footerReference w:type="default" r:id="rId13"/>
          <w:pgSz w:w="11906" w:h="16838"/>
          <w:pgMar w:top="1418" w:right="1133" w:bottom="1418" w:left="1418" w:header="709" w:footer="709" w:gutter="0"/>
          <w:cols w:space="708"/>
          <w:titlePg/>
          <w:docGrid w:linePitch="360"/>
        </w:sectPr>
      </w:pPr>
      <w:r w:rsidRPr="00D32E25">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w:t>
      </w:r>
      <w:r w:rsidR="00AB2996">
        <w:rPr>
          <w:rFonts w:ascii="Arial" w:hAnsi="Arial" w:cs="Arial"/>
          <w:caps/>
          <w:color w:val="7F7F7F" w:themeColor="text1" w:themeTint="80"/>
          <w:sz w:val="32"/>
          <w:szCs w:val="32"/>
        </w:rPr>
        <w:t>2</w:t>
      </w:r>
    </w:p>
    <w:p w14:paraId="4F0E356F" w14:textId="02868815" w:rsidR="00747B45" w:rsidRDefault="00747B45" w:rsidP="00D87CE0">
      <w:pPr>
        <w:spacing w:line="312" w:lineRule="auto"/>
        <w:rPr>
          <w:rFonts w:ascii="Arial" w:hAnsi="Arial" w:cs="Arial"/>
        </w:rPr>
      </w:pPr>
    </w:p>
    <w:p w14:paraId="56412275" w14:textId="77777777" w:rsidR="00AA3804" w:rsidRDefault="00AA3804" w:rsidP="00504801">
      <w:pPr>
        <w:jc w:val="both"/>
        <w:rPr>
          <w:rFonts w:ascii="Arial" w:hAnsi="Arial" w:cs="Arial"/>
        </w:rPr>
      </w:pPr>
      <w:r>
        <w:rPr>
          <w:rFonts w:ascii="Arial" w:hAnsi="Arial" w:cs="Arial"/>
        </w:rPr>
        <w:t>Aktivity výstavba nových sociálních bytů; nákup objektů, domů, bytů a pozemků; nákup a dostavba nedokončených staveb, rekonstrukce a úpravy objektu, domu nebo bytu; nákup nezbytného základního vybavení a rekonstrukce a úpravy společných částí mohou být realizovány v lokalitě se zvýšenou mírou rezidenční segregace (v červených a oranžových zónách  dle Metodiky identifikace lokalit rezidenční segregace) pouze za předpokladu, že bude k projektové žádosti přiloženo souhlasné stanovisko Agentury pro sociální začleňování (Odbor pro sociální začleňování, MMR)</w:t>
      </w:r>
    </w:p>
    <w:p w14:paraId="291A9D88" w14:textId="77777777" w:rsidR="00AA3804" w:rsidRDefault="00AA3804" w:rsidP="00AA3804">
      <w:pPr>
        <w:jc w:val="both"/>
        <w:rPr>
          <w:rFonts w:ascii="Arial" w:hAnsi="Arial" w:cs="Arial"/>
          <w:b/>
          <w:bCs/>
        </w:rPr>
      </w:pPr>
      <w:r>
        <w:rPr>
          <w:rFonts w:ascii="Arial" w:hAnsi="Arial" w:cs="Arial"/>
          <w:b/>
          <w:bCs/>
        </w:rPr>
        <w:t>Způsob podání žádosti</w:t>
      </w:r>
    </w:p>
    <w:p w14:paraId="7D1A454A" w14:textId="77777777" w:rsidR="00AA3804" w:rsidRDefault="00AA3804" w:rsidP="00AA3804">
      <w:pPr>
        <w:jc w:val="both"/>
        <w:rPr>
          <w:rFonts w:ascii="Arial" w:hAnsi="Arial" w:cs="Arial"/>
        </w:rPr>
      </w:pPr>
      <w:r>
        <w:rPr>
          <w:rFonts w:ascii="Arial" w:hAnsi="Arial" w:cs="Arial"/>
        </w:rPr>
        <w:t xml:space="preserve">Žadatel zašle ASZ prostřednictvím datové schránky MMR (ID: </w:t>
      </w:r>
      <w:r>
        <w:rPr>
          <w:rFonts w:ascii="Roboto" w:hAnsi="Roboto"/>
          <w:color w:val="1A1F2A"/>
          <w:shd w:val="clear" w:color="auto" w:fill="FFFFFF"/>
        </w:rPr>
        <w:t xml:space="preserve">26iaava) </w:t>
      </w:r>
      <w:r>
        <w:rPr>
          <w:rFonts w:ascii="Arial" w:hAnsi="Arial" w:cs="Arial"/>
        </w:rPr>
        <w:t>buď finální projektovou žádost, vč. příloh, případně projektový záměr takové míře rozpracovanosti, aby z něj byly patrné následující informace:</w:t>
      </w:r>
    </w:p>
    <w:p w14:paraId="73E134BF" w14:textId="77777777" w:rsidR="00AA3804" w:rsidRDefault="00AA3804" w:rsidP="00AA3804">
      <w:pPr>
        <w:pStyle w:val="Odstavecseseznamem"/>
        <w:numPr>
          <w:ilvl w:val="0"/>
          <w:numId w:val="6"/>
        </w:numPr>
        <w:spacing w:after="160" w:line="256" w:lineRule="auto"/>
        <w:jc w:val="both"/>
        <w:rPr>
          <w:rFonts w:ascii="Arial" w:hAnsi="Arial" w:cs="Arial"/>
        </w:rPr>
      </w:pPr>
      <w:r>
        <w:rPr>
          <w:rFonts w:ascii="Arial" w:hAnsi="Arial" w:cs="Arial"/>
        </w:rPr>
        <w:t>Kontaktní údaje žadatele</w:t>
      </w:r>
    </w:p>
    <w:p w14:paraId="21B16FCF" w14:textId="77777777" w:rsidR="00AA3804" w:rsidRDefault="00AA3804" w:rsidP="00AA3804">
      <w:pPr>
        <w:pStyle w:val="Odstavecseseznamem"/>
        <w:numPr>
          <w:ilvl w:val="0"/>
          <w:numId w:val="6"/>
        </w:numPr>
        <w:spacing w:after="160" w:line="256" w:lineRule="auto"/>
        <w:jc w:val="both"/>
        <w:rPr>
          <w:rFonts w:ascii="Arial" w:hAnsi="Arial" w:cs="Arial"/>
        </w:rPr>
      </w:pPr>
      <w:r>
        <w:rPr>
          <w:rFonts w:ascii="Arial" w:hAnsi="Arial" w:cs="Arial"/>
        </w:rPr>
        <w:t>Umístění stavby</w:t>
      </w:r>
    </w:p>
    <w:p w14:paraId="2F1B2BBF" w14:textId="77777777" w:rsidR="00AA3804" w:rsidRDefault="00AA3804" w:rsidP="00AA3804">
      <w:pPr>
        <w:pStyle w:val="Odstavecseseznamem"/>
        <w:numPr>
          <w:ilvl w:val="0"/>
          <w:numId w:val="6"/>
        </w:numPr>
        <w:spacing w:after="160" w:line="256" w:lineRule="auto"/>
        <w:jc w:val="both"/>
        <w:rPr>
          <w:rFonts w:ascii="Arial" w:hAnsi="Arial" w:cs="Arial"/>
        </w:rPr>
      </w:pPr>
      <w:r>
        <w:rPr>
          <w:rFonts w:ascii="Arial" w:hAnsi="Arial" w:cs="Arial"/>
        </w:rPr>
        <w:t>Realizované dílčí aktivity</w:t>
      </w:r>
    </w:p>
    <w:p w14:paraId="406A062B" w14:textId="77777777" w:rsidR="00AA3804" w:rsidRDefault="00AA3804" w:rsidP="00AA3804">
      <w:pPr>
        <w:pStyle w:val="Odstavecseseznamem"/>
        <w:numPr>
          <w:ilvl w:val="0"/>
          <w:numId w:val="6"/>
        </w:numPr>
        <w:spacing w:after="160" w:line="256" w:lineRule="auto"/>
        <w:jc w:val="both"/>
        <w:rPr>
          <w:rFonts w:ascii="Arial" w:hAnsi="Arial" w:cs="Arial"/>
        </w:rPr>
      </w:pPr>
      <w:r>
        <w:rPr>
          <w:rFonts w:ascii="Arial" w:hAnsi="Arial" w:cs="Arial"/>
        </w:rPr>
        <w:t>Počet, dispozice a vybavení bytů</w:t>
      </w:r>
    </w:p>
    <w:p w14:paraId="3E7B79E9" w14:textId="77777777" w:rsidR="00AA3804" w:rsidRDefault="00AA3804" w:rsidP="00AA3804">
      <w:pPr>
        <w:pStyle w:val="Odstavecseseznamem"/>
        <w:numPr>
          <w:ilvl w:val="0"/>
          <w:numId w:val="6"/>
        </w:numPr>
        <w:spacing w:after="160" w:line="256" w:lineRule="auto"/>
        <w:jc w:val="both"/>
        <w:rPr>
          <w:rFonts w:ascii="Arial" w:hAnsi="Arial" w:cs="Arial"/>
        </w:rPr>
      </w:pPr>
      <w:r>
        <w:rPr>
          <w:rFonts w:ascii="Arial" w:hAnsi="Arial" w:cs="Arial"/>
        </w:rPr>
        <w:t>Informace o stávajících obyvatelích stavby (v případě rekonstrukce, nákupu)</w:t>
      </w:r>
    </w:p>
    <w:p w14:paraId="2200B4C4" w14:textId="77777777" w:rsidR="00AA3804" w:rsidRDefault="00AA3804" w:rsidP="00AA3804">
      <w:pPr>
        <w:pStyle w:val="Odstavecseseznamem"/>
        <w:numPr>
          <w:ilvl w:val="0"/>
          <w:numId w:val="6"/>
        </w:numPr>
        <w:spacing w:after="160" w:line="256" w:lineRule="auto"/>
        <w:jc w:val="both"/>
        <w:rPr>
          <w:rFonts w:ascii="Arial" w:hAnsi="Arial" w:cs="Arial"/>
        </w:rPr>
      </w:pPr>
      <w:r>
        <w:rPr>
          <w:rFonts w:ascii="Arial" w:hAnsi="Arial" w:cs="Arial"/>
        </w:rPr>
        <w:t>Informace o zamýšleném provozu bytů v objektu, zejm. pak:</w:t>
      </w:r>
    </w:p>
    <w:p w14:paraId="102383DF" w14:textId="77777777" w:rsidR="00AA3804" w:rsidRDefault="00AA3804" w:rsidP="00AA3804">
      <w:pPr>
        <w:pStyle w:val="Odstavecseseznamem"/>
        <w:numPr>
          <w:ilvl w:val="1"/>
          <w:numId w:val="6"/>
        </w:numPr>
        <w:spacing w:after="160" w:line="256" w:lineRule="auto"/>
        <w:jc w:val="both"/>
        <w:rPr>
          <w:rFonts w:ascii="Arial" w:hAnsi="Arial" w:cs="Arial"/>
        </w:rPr>
      </w:pPr>
      <w:r>
        <w:rPr>
          <w:rFonts w:ascii="Arial" w:hAnsi="Arial" w:cs="Arial"/>
        </w:rPr>
        <w:t>CS nájemníků</w:t>
      </w:r>
    </w:p>
    <w:p w14:paraId="3D86AC1F" w14:textId="77777777" w:rsidR="00AA3804" w:rsidRDefault="00AA3804" w:rsidP="00AA3804">
      <w:pPr>
        <w:pStyle w:val="Odstavecseseznamem"/>
        <w:numPr>
          <w:ilvl w:val="1"/>
          <w:numId w:val="6"/>
        </w:numPr>
        <w:spacing w:after="160" w:line="256" w:lineRule="auto"/>
        <w:jc w:val="both"/>
        <w:rPr>
          <w:rFonts w:ascii="Arial" w:hAnsi="Arial" w:cs="Arial"/>
        </w:rPr>
      </w:pPr>
      <w:r>
        <w:rPr>
          <w:rFonts w:ascii="Arial" w:hAnsi="Arial" w:cs="Arial"/>
        </w:rPr>
        <w:t>Způsob výběru nájemníků</w:t>
      </w:r>
    </w:p>
    <w:p w14:paraId="7285FE3F" w14:textId="77777777" w:rsidR="00AA3804" w:rsidRDefault="00AA3804" w:rsidP="00AA3804">
      <w:pPr>
        <w:pStyle w:val="Odstavecseseznamem"/>
        <w:numPr>
          <w:ilvl w:val="1"/>
          <w:numId w:val="6"/>
        </w:numPr>
        <w:spacing w:after="160" w:line="256" w:lineRule="auto"/>
        <w:jc w:val="both"/>
        <w:rPr>
          <w:rFonts w:ascii="Arial" w:hAnsi="Arial" w:cs="Arial"/>
        </w:rPr>
      </w:pPr>
      <w:r>
        <w:rPr>
          <w:rFonts w:ascii="Arial" w:hAnsi="Arial" w:cs="Arial"/>
        </w:rPr>
        <w:t>Zajištění podpory nájemníků</w:t>
      </w:r>
    </w:p>
    <w:p w14:paraId="1977A0B0" w14:textId="77777777" w:rsidR="00AA3804" w:rsidRDefault="00AA3804" w:rsidP="00AA3804">
      <w:pPr>
        <w:pStyle w:val="Odstavecseseznamem"/>
        <w:numPr>
          <w:ilvl w:val="0"/>
          <w:numId w:val="6"/>
        </w:numPr>
        <w:spacing w:after="160" w:line="256" w:lineRule="auto"/>
        <w:jc w:val="both"/>
        <w:rPr>
          <w:rFonts w:ascii="Arial" w:hAnsi="Arial" w:cs="Arial"/>
        </w:rPr>
      </w:pPr>
      <w:r>
        <w:rPr>
          <w:rFonts w:ascii="Arial" w:hAnsi="Arial" w:cs="Arial"/>
        </w:rPr>
        <w:t>K záměru budou rovněž přiloženy dokumenty (např. strategické plány rozvoje území, usnesení zastupitelstva obce, studie), které by při posuzování měly být dle žadatele brány v potaz (vizte kritéria hodnocení).</w:t>
      </w:r>
    </w:p>
    <w:p w14:paraId="77EA9B9F" w14:textId="77777777" w:rsidR="00AA3804" w:rsidRDefault="00AA3804" w:rsidP="00AA3804">
      <w:pPr>
        <w:jc w:val="both"/>
        <w:rPr>
          <w:rFonts w:ascii="Arial" w:hAnsi="Arial" w:cs="Arial"/>
          <w:b/>
          <w:bCs/>
        </w:rPr>
      </w:pPr>
      <w:r>
        <w:rPr>
          <w:rFonts w:ascii="Arial" w:hAnsi="Arial" w:cs="Arial"/>
          <w:b/>
          <w:bCs/>
        </w:rPr>
        <w:t>Lhůty pro vydání stanoviska</w:t>
      </w:r>
    </w:p>
    <w:p w14:paraId="7E611A6B" w14:textId="77777777" w:rsidR="00AA3804" w:rsidRDefault="00AA3804" w:rsidP="00AA3804">
      <w:pPr>
        <w:pStyle w:val="Odstavecseseznamem"/>
        <w:numPr>
          <w:ilvl w:val="0"/>
          <w:numId w:val="6"/>
        </w:numPr>
        <w:spacing w:after="160" w:line="256" w:lineRule="auto"/>
        <w:jc w:val="both"/>
        <w:rPr>
          <w:rFonts w:ascii="Arial" w:hAnsi="Arial" w:cs="Arial"/>
        </w:rPr>
      </w:pPr>
      <w:r>
        <w:rPr>
          <w:rFonts w:ascii="Arial" w:hAnsi="Arial" w:cs="Arial"/>
        </w:rPr>
        <w:t xml:space="preserve">Potřebná minimální lhůta pro vystavení Potvrzení souladu projektu do výzvy IROP 2021–2027 s PSZ je 30 pracovních dní. </w:t>
      </w:r>
    </w:p>
    <w:p w14:paraId="6E3F7E38" w14:textId="77777777" w:rsidR="00AA3804" w:rsidRDefault="00AA3804" w:rsidP="00AA3804">
      <w:pPr>
        <w:pStyle w:val="Odstavecseseznamem"/>
        <w:numPr>
          <w:ilvl w:val="0"/>
          <w:numId w:val="6"/>
        </w:numPr>
        <w:spacing w:after="160" w:line="256" w:lineRule="auto"/>
        <w:jc w:val="both"/>
        <w:rPr>
          <w:rFonts w:ascii="Arial" w:hAnsi="Arial" w:cs="Arial"/>
        </w:rPr>
      </w:pPr>
      <w:r>
        <w:rPr>
          <w:rFonts w:ascii="Arial" w:hAnsi="Arial" w:cs="Arial"/>
        </w:rPr>
        <w:t>Datum vydání potvrzení musí být před podáním žádosti o podporu a zároveň pozdější než datum vyhlášení výzvy.</w:t>
      </w:r>
    </w:p>
    <w:p w14:paraId="0D467526" w14:textId="77777777" w:rsidR="00AA3804" w:rsidRDefault="00AA3804" w:rsidP="00AA3804">
      <w:pPr>
        <w:jc w:val="both"/>
        <w:rPr>
          <w:rFonts w:ascii="Arial" w:hAnsi="Arial" w:cs="Arial"/>
          <w:b/>
          <w:bCs/>
        </w:rPr>
      </w:pPr>
      <w:r>
        <w:rPr>
          <w:rFonts w:ascii="Arial" w:hAnsi="Arial" w:cs="Arial"/>
          <w:b/>
          <w:bCs/>
        </w:rPr>
        <w:t>Metodika vydávání stanoviska</w:t>
      </w:r>
    </w:p>
    <w:p w14:paraId="68827DCC" w14:textId="77777777" w:rsidR="00AA3804" w:rsidRDefault="00AA3804" w:rsidP="00AA3804">
      <w:pPr>
        <w:pStyle w:val="Odstavecseseznamem"/>
        <w:numPr>
          <w:ilvl w:val="0"/>
          <w:numId w:val="7"/>
        </w:numPr>
        <w:spacing w:after="160" w:line="256" w:lineRule="auto"/>
        <w:jc w:val="both"/>
        <w:rPr>
          <w:rFonts w:ascii="Arial" w:hAnsi="Arial" w:cs="Arial"/>
          <w:color w:val="000000" w:themeColor="text1"/>
        </w:rPr>
      </w:pPr>
      <w:r>
        <w:rPr>
          <w:rFonts w:ascii="Arial" w:hAnsi="Arial" w:cs="Arial"/>
          <w:color w:val="000000" w:themeColor="text1"/>
        </w:rPr>
        <w:t xml:space="preserve">Posouzení vhodnosti projektu z hlediska principu </w:t>
      </w:r>
      <w:proofErr w:type="spellStart"/>
      <w:r>
        <w:rPr>
          <w:rFonts w:ascii="Arial" w:hAnsi="Arial" w:cs="Arial"/>
          <w:color w:val="000000" w:themeColor="text1"/>
        </w:rPr>
        <w:t>nesegregace</w:t>
      </w:r>
      <w:proofErr w:type="spellEnd"/>
      <w:r>
        <w:rPr>
          <w:rFonts w:ascii="Arial" w:hAnsi="Arial" w:cs="Arial"/>
          <w:color w:val="000000" w:themeColor="text1"/>
        </w:rPr>
        <w:t xml:space="preserve"> vypracovává tým dvou pracovníků Oddělení podpory bydlení v regionech</w:t>
      </w:r>
    </w:p>
    <w:p w14:paraId="7120FB3C" w14:textId="77777777" w:rsidR="00AA3804" w:rsidRDefault="00AA3804" w:rsidP="00AA3804">
      <w:pPr>
        <w:pStyle w:val="Odstavecseseznamem"/>
        <w:numPr>
          <w:ilvl w:val="0"/>
          <w:numId w:val="7"/>
        </w:numPr>
        <w:spacing w:after="160" w:line="256" w:lineRule="auto"/>
        <w:jc w:val="both"/>
        <w:rPr>
          <w:rFonts w:ascii="Arial" w:hAnsi="Arial" w:cs="Arial"/>
          <w:color w:val="000000" w:themeColor="text1"/>
        </w:rPr>
      </w:pPr>
      <w:r>
        <w:rPr>
          <w:rFonts w:ascii="Arial" w:hAnsi="Arial" w:cs="Arial"/>
          <w:color w:val="000000" w:themeColor="text1"/>
        </w:rPr>
        <w:t>Posuzování je realizováno ve čtyřech fázích</w:t>
      </w:r>
    </w:p>
    <w:p w14:paraId="19531DDE" w14:textId="77777777" w:rsidR="00AA3804" w:rsidRDefault="00AA3804" w:rsidP="00AA3804">
      <w:pPr>
        <w:pStyle w:val="Odstavecseseznamem"/>
        <w:numPr>
          <w:ilvl w:val="1"/>
          <w:numId w:val="7"/>
        </w:numPr>
        <w:spacing w:after="160" w:line="256" w:lineRule="auto"/>
        <w:jc w:val="both"/>
        <w:rPr>
          <w:rFonts w:ascii="Arial" w:hAnsi="Arial" w:cs="Arial"/>
          <w:color w:val="000000" w:themeColor="text1"/>
        </w:rPr>
      </w:pPr>
      <w:r>
        <w:rPr>
          <w:rFonts w:ascii="Arial" w:hAnsi="Arial" w:cs="Arial"/>
          <w:color w:val="000000" w:themeColor="text1"/>
        </w:rPr>
        <w:t>Prostudování materiálů a dat</w:t>
      </w:r>
    </w:p>
    <w:p w14:paraId="24AD84DF" w14:textId="77777777" w:rsidR="00AA3804" w:rsidRDefault="00AA3804" w:rsidP="00AA3804">
      <w:pPr>
        <w:pStyle w:val="Odstavecseseznamem"/>
        <w:numPr>
          <w:ilvl w:val="1"/>
          <w:numId w:val="7"/>
        </w:numPr>
        <w:spacing w:after="160" w:line="256" w:lineRule="auto"/>
        <w:jc w:val="both"/>
        <w:rPr>
          <w:rFonts w:ascii="Arial" w:hAnsi="Arial" w:cs="Arial"/>
          <w:color w:val="000000" w:themeColor="text1"/>
        </w:rPr>
      </w:pPr>
      <w:r>
        <w:rPr>
          <w:rFonts w:ascii="Arial" w:hAnsi="Arial" w:cs="Arial"/>
          <w:color w:val="000000" w:themeColor="text1"/>
        </w:rPr>
        <w:t>Návštěva lokality zamýšlené realizace projektu</w:t>
      </w:r>
    </w:p>
    <w:p w14:paraId="2FCF33D5" w14:textId="77777777" w:rsidR="00AA3804" w:rsidRDefault="00AA3804" w:rsidP="00AA3804">
      <w:pPr>
        <w:pStyle w:val="Odstavecseseznamem"/>
        <w:numPr>
          <w:ilvl w:val="1"/>
          <w:numId w:val="7"/>
        </w:numPr>
        <w:spacing w:after="160" w:line="256" w:lineRule="auto"/>
        <w:jc w:val="both"/>
        <w:rPr>
          <w:rFonts w:ascii="Arial" w:hAnsi="Arial" w:cs="Arial"/>
          <w:color w:val="000000" w:themeColor="text1"/>
        </w:rPr>
      </w:pPr>
      <w:r>
        <w:rPr>
          <w:rFonts w:ascii="Arial" w:hAnsi="Arial" w:cs="Arial"/>
          <w:color w:val="000000" w:themeColor="text1"/>
        </w:rPr>
        <w:t>Rozhovor s realizačním týmem</w:t>
      </w:r>
      <w:r>
        <w:rPr>
          <w:rStyle w:val="Znakapoznpodarou"/>
          <w:rFonts w:ascii="Arial" w:hAnsi="Arial" w:cs="Arial"/>
          <w:color w:val="000000" w:themeColor="text1"/>
        </w:rPr>
        <w:footnoteReference w:id="2"/>
      </w:r>
    </w:p>
    <w:p w14:paraId="3B043D88" w14:textId="248AA200" w:rsidR="00AA3804" w:rsidRDefault="00AA3804" w:rsidP="00AA3804">
      <w:pPr>
        <w:pStyle w:val="Odstavecseseznamem"/>
        <w:numPr>
          <w:ilvl w:val="1"/>
          <w:numId w:val="7"/>
        </w:numPr>
        <w:spacing w:after="160" w:line="256" w:lineRule="auto"/>
        <w:jc w:val="both"/>
        <w:rPr>
          <w:rFonts w:ascii="Arial" w:hAnsi="Arial" w:cs="Arial"/>
          <w:color w:val="000000" w:themeColor="text1"/>
        </w:rPr>
      </w:pPr>
      <w:r>
        <w:rPr>
          <w:rFonts w:ascii="Arial" w:hAnsi="Arial" w:cs="Arial"/>
          <w:color w:val="000000" w:themeColor="text1"/>
        </w:rPr>
        <w:t>Vypracování hodnotícího protokolu a vydání souhlasného či zamítavého stanoviska</w:t>
      </w:r>
    </w:p>
    <w:p w14:paraId="2CB96B5D" w14:textId="3E58FE19" w:rsidR="00AA3804" w:rsidRDefault="00AA3804" w:rsidP="00AA3804">
      <w:pPr>
        <w:pStyle w:val="Odstavecseseznamem"/>
        <w:numPr>
          <w:ilvl w:val="0"/>
          <w:numId w:val="7"/>
        </w:numPr>
        <w:spacing w:after="160" w:line="256" w:lineRule="auto"/>
        <w:jc w:val="both"/>
        <w:rPr>
          <w:rFonts w:ascii="Arial" w:hAnsi="Arial" w:cs="Arial"/>
          <w:color w:val="000000" w:themeColor="text1"/>
        </w:rPr>
      </w:pPr>
      <w:r>
        <w:rPr>
          <w:rFonts w:ascii="Arial" w:hAnsi="Arial" w:cs="Arial"/>
          <w:color w:val="000000" w:themeColor="text1"/>
        </w:rPr>
        <w:lastRenderedPageBreak/>
        <w:t>Informace, které nebudou součástí příloh projektové žádosti/projektového záměru, případně které nebudou uvedeny v zápis</w:t>
      </w:r>
      <w:r w:rsidR="00942BAF">
        <w:rPr>
          <w:rFonts w:ascii="Arial" w:hAnsi="Arial" w:cs="Arial"/>
          <w:color w:val="000000" w:themeColor="text1"/>
        </w:rPr>
        <w:t>e</w:t>
      </w:r>
      <w:r>
        <w:rPr>
          <w:rFonts w:ascii="Arial" w:hAnsi="Arial" w:cs="Arial"/>
          <w:color w:val="000000" w:themeColor="text1"/>
        </w:rPr>
        <w:t xml:space="preserve"> z rozhovoru, nemusí být při posuzování brány v potaz.</w:t>
      </w:r>
    </w:p>
    <w:p w14:paraId="6058AA45" w14:textId="107D51CA" w:rsidR="00AA3804" w:rsidRDefault="00AA3804" w:rsidP="00AA3804">
      <w:pPr>
        <w:pStyle w:val="Odstavecseseznamem"/>
        <w:numPr>
          <w:ilvl w:val="0"/>
          <w:numId w:val="7"/>
        </w:numPr>
        <w:spacing w:after="160" w:line="256" w:lineRule="auto"/>
        <w:jc w:val="both"/>
        <w:rPr>
          <w:rFonts w:ascii="Arial" w:hAnsi="Arial" w:cs="Arial"/>
          <w:color w:val="000000" w:themeColor="text1"/>
        </w:rPr>
      </w:pPr>
      <w:r>
        <w:rPr>
          <w:rFonts w:ascii="Arial" w:hAnsi="Arial" w:cs="Arial"/>
          <w:color w:val="000000" w:themeColor="text1"/>
        </w:rPr>
        <w:t xml:space="preserve">Před vydáním stanoviska </w:t>
      </w:r>
      <w:proofErr w:type="gramStart"/>
      <w:r>
        <w:rPr>
          <w:rFonts w:ascii="Arial" w:hAnsi="Arial" w:cs="Arial"/>
          <w:color w:val="000000" w:themeColor="text1"/>
        </w:rPr>
        <w:t>ověří</w:t>
      </w:r>
      <w:proofErr w:type="gramEnd"/>
      <w:r>
        <w:rPr>
          <w:rFonts w:ascii="Arial" w:hAnsi="Arial" w:cs="Arial"/>
          <w:color w:val="000000" w:themeColor="text1"/>
        </w:rPr>
        <w:t xml:space="preserve"> ASZ u kontaktní osoby žadatele správnost </w:t>
      </w:r>
      <w:r w:rsidR="00942BAF">
        <w:rPr>
          <w:rFonts w:ascii="Arial" w:hAnsi="Arial" w:cs="Arial"/>
          <w:color w:val="000000" w:themeColor="text1"/>
        </w:rPr>
        <w:t>faktů obsažených</w:t>
      </w:r>
      <w:r>
        <w:rPr>
          <w:rFonts w:ascii="Arial" w:hAnsi="Arial" w:cs="Arial"/>
          <w:color w:val="000000" w:themeColor="text1"/>
        </w:rPr>
        <w:t xml:space="preserve"> v protokolu</w:t>
      </w:r>
    </w:p>
    <w:p w14:paraId="40146B30" w14:textId="4DBE54B3" w:rsidR="00AA3804" w:rsidRPr="00942BAF" w:rsidRDefault="00AA3804" w:rsidP="005535DB">
      <w:pPr>
        <w:pStyle w:val="Odstavecseseznamem"/>
        <w:numPr>
          <w:ilvl w:val="0"/>
          <w:numId w:val="7"/>
        </w:numPr>
        <w:spacing w:after="160" w:line="256" w:lineRule="auto"/>
        <w:jc w:val="both"/>
        <w:rPr>
          <w:rFonts w:ascii="Arial" w:hAnsi="Arial" w:cs="Arial"/>
          <w:color w:val="000000" w:themeColor="text1"/>
        </w:rPr>
      </w:pPr>
      <w:r w:rsidRPr="00942BAF">
        <w:rPr>
          <w:rFonts w:ascii="Arial" w:hAnsi="Arial" w:cs="Arial"/>
          <w:color w:val="000000" w:themeColor="text1"/>
        </w:rPr>
        <w:t xml:space="preserve">Stanovisko ASZ vydává na formuláři obsahujícím jeho zdůvodnění. </w:t>
      </w:r>
    </w:p>
    <w:p w14:paraId="6A60DB70" w14:textId="77777777" w:rsidR="00AA3804" w:rsidRDefault="00AA3804" w:rsidP="00AA3804">
      <w:pPr>
        <w:jc w:val="both"/>
        <w:rPr>
          <w:rFonts w:ascii="Arial" w:hAnsi="Arial" w:cs="Arial"/>
          <w:b/>
          <w:bCs/>
          <w:color w:val="000000" w:themeColor="text1"/>
        </w:rPr>
      </w:pPr>
      <w:r>
        <w:rPr>
          <w:rFonts w:ascii="Arial" w:hAnsi="Arial" w:cs="Arial"/>
          <w:b/>
          <w:bCs/>
          <w:color w:val="000000" w:themeColor="text1"/>
        </w:rPr>
        <w:t>Základní kritéria</w:t>
      </w:r>
    </w:p>
    <w:p w14:paraId="4C660345" w14:textId="5CA44FF9" w:rsidR="00AA3804" w:rsidRDefault="00AA3804" w:rsidP="00AA3804">
      <w:pPr>
        <w:pStyle w:val="Odstavecseseznamem"/>
        <w:numPr>
          <w:ilvl w:val="0"/>
          <w:numId w:val="8"/>
        </w:numPr>
        <w:spacing w:after="160" w:line="256" w:lineRule="auto"/>
        <w:jc w:val="both"/>
        <w:rPr>
          <w:rFonts w:ascii="Arial" w:hAnsi="Arial" w:cs="Arial"/>
          <w:b/>
          <w:bCs/>
          <w:i/>
          <w:iCs/>
          <w:color w:val="000000" w:themeColor="text1"/>
        </w:rPr>
      </w:pPr>
      <w:r>
        <w:rPr>
          <w:rFonts w:ascii="Arial" w:hAnsi="Arial" w:cs="Arial"/>
          <w:b/>
          <w:bCs/>
          <w:i/>
          <w:iCs/>
          <w:color w:val="000000" w:themeColor="text1"/>
        </w:rPr>
        <w:t xml:space="preserve">Charakter koncentrace SPO </w:t>
      </w:r>
      <w:proofErr w:type="spellStart"/>
      <w:r>
        <w:rPr>
          <w:rFonts w:ascii="Arial" w:hAnsi="Arial" w:cs="Arial"/>
          <w:b/>
          <w:bCs/>
          <w:i/>
          <w:iCs/>
          <w:color w:val="000000" w:themeColor="text1"/>
        </w:rPr>
        <w:t>PnŽ</w:t>
      </w:r>
      <w:proofErr w:type="spellEnd"/>
      <w:r w:rsidR="00370163">
        <w:rPr>
          <w:rFonts w:ascii="Arial" w:hAnsi="Arial" w:cs="Arial"/>
          <w:b/>
          <w:bCs/>
          <w:i/>
          <w:iCs/>
          <w:color w:val="000000" w:themeColor="text1"/>
        </w:rPr>
        <w:t xml:space="preserve"> (příspěvek na živobytí)</w:t>
      </w:r>
      <w:r>
        <w:rPr>
          <w:rFonts w:ascii="Arial" w:hAnsi="Arial" w:cs="Arial"/>
          <w:b/>
          <w:bCs/>
          <w:i/>
          <w:iCs/>
          <w:color w:val="000000" w:themeColor="text1"/>
        </w:rPr>
        <w:t xml:space="preserve"> v rámci základní sídelní jednotky </w:t>
      </w:r>
    </w:p>
    <w:p w14:paraId="00983ED8" w14:textId="77777777" w:rsidR="00AA3804" w:rsidRDefault="00AA3804" w:rsidP="00AA3804">
      <w:pPr>
        <w:jc w:val="both"/>
        <w:rPr>
          <w:rFonts w:ascii="Arial" w:hAnsi="Arial" w:cs="Arial"/>
          <w:color w:val="000000" w:themeColor="text1"/>
        </w:rPr>
      </w:pPr>
      <w:r>
        <w:rPr>
          <w:rFonts w:ascii="Arial" w:hAnsi="Arial" w:cs="Arial"/>
          <w:color w:val="000000" w:themeColor="text1"/>
        </w:rPr>
        <w:t xml:space="preserve">Pokud pracovníci ASZ dospějí k závěru, že indikovaná zvýšená míra rezidenční segregace pro základní sídelní jednotku (ZSJ), není relevantní pro území, v němž má dojít k akci podpořené z výzvy IROP, bude souhlasné stanovisko vydáno bez dalšího přezkumu. Např. může jít o situace, kdy hodnocení ZSJ dle Metodiky identifikace lokalit rezidenční segregace zkresluje přítomnost ubytovny, která je však od místa realizace projektu vzdálena několik set metrů, je od zbytku zástavby oddělena tratí, rychlostní komunikací apod. </w:t>
      </w:r>
    </w:p>
    <w:p w14:paraId="6BAF9099" w14:textId="77777777" w:rsidR="00AA3804" w:rsidRDefault="00AA3804" w:rsidP="00AA3804">
      <w:pPr>
        <w:jc w:val="both"/>
        <w:rPr>
          <w:rFonts w:ascii="Arial" w:hAnsi="Arial" w:cs="Arial"/>
          <w:color w:val="000000" w:themeColor="text1"/>
        </w:rPr>
      </w:pPr>
      <w:r>
        <w:rPr>
          <w:rFonts w:ascii="Arial" w:hAnsi="Arial" w:cs="Arial"/>
          <w:color w:val="000000" w:themeColor="text1"/>
        </w:rPr>
        <w:t xml:space="preserve">Pokud pracovníci ASZ dospějí k závěru, že riziko rezidenční segregace se týká i bezprostředního sousedství zamýšlené investiční akce, mohou souhlasné stanovisko vydat pouze po vyhodnocení dalších kritérií. </w:t>
      </w:r>
    </w:p>
    <w:p w14:paraId="494B3D43" w14:textId="77777777" w:rsidR="00AA3804" w:rsidRDefault="00AA3804" w:rsidP="00AA3804">
      <w:pPr>
        <w:pStyle w:val="Odstavecseseznamem"/>
        <w:numPr>
          <w:ilvl w:val="0"/>
          <w:numId w:val="8"/>
        </w:numPr>
        <w:spacing w:after="160" w:line="256" w:lineRule="auto"/>
        <w:jc w:val="both"/>
        <w:rPr>
          <w:rFonts w:ascii="Arial" w:hAnsi="Arial" w:cs="Arial"/>
          <w:b/>
          <w:bCs/>
          <w:color w:val="000000" w:themeColor="text1"/>
        </w:rPr>
      </w:pPr>
      <w:r>
        <w:rPr>
          <w:rFonts w:ascii="Arial" w:hAnsi="Arial" w:cs="Arial"/>
          <w:b/>
          <w:bCs/>
          <w:i/>
          <w:iCs/>
        </w:rPr>
        <w:t>Rozsah investice</w:t>
      </w:r>
    </w:p>
    <w:p w14:paraId="667A0622" w14:textId="77777777" w:rsidR="00AA3804" w:rsidRDefault="00AA3804" w:rsidP="00AA3804">
      <w:pPr>
        <w:jc w:val="both"/>
        <w:rPr>
          <w:rFonts w:ascii="Arial" w:hAnsi="Arial" w:cs="Arial"/>
        </w:rPr>
      </w:pPr>
      <w:r>
        <w:rPr>
          <w:rFonts w:ascii="Arial" w:hAnsi="Arial" w:cs="Arial"/>
        </w:rPr>
        <w:t xml:space="preserve">Pokud je předložený projekt součástí rozsáhlé investiční akce, která zcela proměňuje a pozitivně ovlivňuje sociální mix v celé čtvrti, </w:t>
      </w:r>
      <w:r>
        <w:rPr>
          <w:rFonts w:ascii="Arial" w:hAnsi="Arial" w:cs="Arial"/>
          <w:color w:val="000000" w:themeColor="text1"/>
        </w:rPr>
        <w:t>bude souhlasné stanovisko vydáno bez dalšího přezkumu.</w:t>
      </w:r>
    </w:p>
    <w:p w14:paraId="724A3B89" w14:textId="77777777" w:rsidR="00AA3804" w:rsidRDefault="00AA3804" w:rsidP="00AA3804">
      <w:pPr>
        <w:pStyle w:val="Odstavecseseznamem"/>
        <w:numPr>
          <w:ilvl w:val="0"/>
          <w:numId w:val="8"/>
        </w:numPr>
        <w:spacing w:after="160" w:line="256" w:lineRule="auto"/>
        <w:jc w:val="both"/>
        <w:rPr>
          <w:rFonts w:ascii="Arial" w:hAnsi="Arial" w:cs="Arial"/>
          <w:b/>
          <w:bCs/>
          <w:i/>
          <w:iCs/>
        </w:rPr>
      </w:pPr>
      <w:r>
        <w:rPr>
          <w:rFonts w:ascii="Arial" w:hAnsi="Arial" w:cs="Arial"/>
          <w:b/>
          <w:bCs/>
          <w:i/>
          <w:iCs/>
        </w:rPr>
        <w:t>Kontrola nad skladbou nájemníků v domě</w:t>
      </w:r>
    </w:p>
    <w:p w14:paraId="7FBFFA83" w14:textId="599368D9" w:rsidR="00AA3804" w:rsidRDefault="00AA3804" w:rsidP="00AA3804">
      <w:pPr>
        <w:jc w:val="both"/>
        <w:rPr>
          <w:rFonts w:ascii="Arial" w:hAnsi="Arial" w:cs="Arial"/>
          <w:color w:val="000000" w:themeColor="text1"/>
        </w:rPr>
      </w:pPr>
      <w:r>
        <w:rPr>
          <w:rFonts w:ascii="Arial" w:hAnsi="Arial" w:cs="Arial"/>
          <w:color w:val="000000" w:themeColor="text1"/>
        </w:rPr>
        <w:t>Pokud realizátor nebude mít kontrolu nad skladbou nájemníků v celém domě, nebude pravděpodobně souhlasné stanovisko vydáno.</w:t>
      </w:r>
    </w:p>
    <w:p w14:paraId="02FA5E71" w14:textId="77777777" w:rsidR="00AA3804" w:rsidRDefault="00AA3804" w:rsidP="00AA3804">
      <w:pPr>
        <w:jc w:val="both"/>
        <w:rPr>
          <w:rFonts w:ascii="Arial" w:hAnsi="Arial" w:cs="Arial"/>
        </w:rPr>
      </w:pPr>
      <w:r>
        <w:rPr>
          <w:rFonts w:ascii="Arial" w:hAnsi="Arial" w:cs="Arial"/>
        </w:rPr>
        <w:br w:type="page"/>
      </w:r>
    </w:p>
    <w:p w14:paraId="2B0D332B" w14:textId="77777777" w:rsidR="00AA3804" w:rsidRDefault="00AA3804" w:rsidP="00AA3804">
      <w:pPr>
        <w:jc w:val="both"/>
        <w:rPr>
          <w:rFonts w:ascii="Arial" w:hAnsi="Arial" w:cs="Arial"/>
          <w:b/>
          <w:bCs/>
        </w:rPr>
      </w:pPr>
      <w:r>
        <w:rPr>
          <w:rFonts w:ascii="Arial" w:hAnsi="Arial" w:cs="Arial"/>
          <w:b/>
          <w:bCs/>
        </w:rPr>
        <w:lastRenderedPageBreak/>
        <w:t>Bodovaná kritéria</w:t>
      </w:r>
    </w:p>
    <w:p w14:paraId="633ED8F7" w14:textId="5269762D" w:rsidR="00AA3804" w:rsidRDefault="00AA3804" w:rsidP="00AA3804">
      <w:pPr>
        <w:jc w:val="both"/>
        <w:rPr>
          <w:rFonts w:ascii="Arial" w:hAnsi="Arial" w:cs="Arial"/>
        </w:rPr>
      </w:pPr>
      <w:r>
        <w:rPr>
          <w:rFonts w:ascii="Arial" w:hAnsi="Arial" w:cs="Arial"/>
        </w:rPr>
        <w:t xml:space="preserve">Pro získání souhlasného </w:t>
      </w:r>
      <w:r w:rsidR="008F1770">
        <w:rPr>
          <w:rFonts w:ascii="Arial" w:hAnsi="Arial" w:cs="Arial"/>
        </w:rPr>
        <w:t>stanoviska by</w:t>
      </w:r>
      <w:r>
        <w:rPr>
          <w:rFonts w:ascii="Arial" w:hAnsi="Arial" w:cs="Arial"/>
        </w:rPr>
        <w:t xml:space="preserve"> měl projekt žadatele v „oranžové“ zóně dle Metodiky identifikace lokalit rezidenční segregace obdržet alespoň 15 bodů, v „červené“ zóně pak alespoň 20 bodů.</w:t>
      </w:r>
    </w:p>
    <w:p w14:paraId="600B0F1C" w14:textId="77777777" w:rsidR="00AA3804" w:rsidRDefault="00AA3804" w:rsidP="00AA3804">
      <w:pPr>
        <w:pStyle w:val="Odstavecseseznamem"/>
        <w:numPr>
          <w:ilvl w:val="0"/>
          <w:numId w:val="9"/>
        </w:numPr>
        <w:spacing w:after="160" w:line="256" w:lineRule="auto"/>
        <w:jc w:val="both"/>
        <w:rPr>
          <w:rFonts w:ascii="Arial" w:hAnsi="Arial" w:cs="Arial"/>
          <w:b/>
          <w:bCs/>
          <w:i/>
          <w:iCs/>
        </w:rPr>
      </w:pPr>
      <w:r>
        <w:rPr>
          <w:rFonts w:ascii="Arial" w:hAnsi="Arial" w:cs="Arial"/>
          <w:b/>
          <w:bCs/>
          <w:i/>
          <w:iCs/>
        </w:rPr>
        <w:t>Kontext rozvoje lokality (max. 15 bodů)</w:t>
      </w:r>
    </w:p>
    <w:p w14:paraId="234F95A4" w14:textId="77777777" w:rsidR="00AA3804" w:rsidRDefault="00AA3804" w:rsidP="00AA3804">
      <w:pPr>
        <w:pStyle w:val="Odstavecseseznamem"/>
        <w:jc w:val="both"/>
        <w:rPr>
          <w:rFonts w:ascii="Arial" w:hAnsi="Arial" w:cs="Arial"/>
          <w:b/>
          <w:bCs/>
        </w:rPr>
      </w:pPr>
    </w:p>
    <w:p w14:paraId="3F2C80B5" w14:textId="77777777" w:rsidR="00AA3804" w:rsidRDefault="00AA3804" w:rsidP="00AA3804">
      <w:pPr>
        <w:pStyle w:val="Odstavecseseznamem"/>
        <w:numPr>
          <w:ilvl w:val="1"/>
          <w:numId w:val="9"/>
        </w:numPr>
        <w:spacing w:after="160" w:line="256" w:lineRule="auto"/>
        <w:jc w:val="both"/>
        <w:rPr>
          <w:rFonts w:ascii="Arial" w:hAnsi="Arial" w:cs="Arial"/>
        </w:rPr>
      </w:pPr>
      <w:r>
        <w:rPr>
          <w:rFonts w:ascii="Arial" w:hAnsi="Arial" w:cs="Arial"/>
        </w:rPr>
        <w:t>Občanská vybavenost lokality (0-5)</w:t>
      </w:r>
    </w:p>
    <w:p w14:paraId="29526836" w14:textId="77777777" w:rsidR="00AA3804" w:rsidRDefault="00AA3804" w:rsidP="00AA3804">
      <w:pPr>
        <w:pStyle w:val="Odstavecseseznamem"/>
        <w:numPr>
          <w:ilvl w:val="1"/>
          <w:numId w:val="9"/>
        </w:numPr>
        <w:spacing w:after="160" w:line="256" w:lineRule="auto"/>
        <w:jc w:val="both"/>
        <w:rPr>
          <w:rFonts w:ascii="Arial" w:hAnsi="Arial" w:cs="Arial"/>
        </w:rPr>
      </w:pPr>
      <w:r>
        <w:rPr>
          <w:rFonts w:ascii="Arial" w:hAnsi="Arial" w:cs="Arial"/>
        </w:rPr>
        <w:t>Dosavadní investice do území (0-5)</w:t>
      </w:r>
    </w:p>
    <w:p w14:paraId="5974ABE5" w14:textId="77777777" w:rsidR="00AA3804" w:rsidRDefault="00AA3804" w:rsidP="00AA3804">
      <w:pPr>
        <w:pStyle w:val="Odstavecseseznamem"/>
        <w:numPr>
          <w:ilvl w:val="1"/>
          <w:numId w:val="9"/>
        </w:numPr>
        <w:spacing w:after="160" w:line="256" w:lineRule="auto"/>
        <w:jc w:val="both"/>
        <w:rPr>
          <w:rFonts w:ascii="Arial" w:hAnsi="Arial" w:cs="Arial"/>
        </w:rPr>
      </w:pPr>
      <w:r>
        <w:rPr>
          <w:rFonts w:ascii="Arial" w:hAnsi="Arial" w:cs="Arial"/>
        </w:rPr>
        <w:t>Plán rozvoje území (0-5)</w:t>
      </w:r>
    </w:p>
    <w:p w14:paraId="6BF34695" w14:textId="77777777" w:rsidR="00AA3804" w:rsidRDefault="00AA3804" w:rsidP="00AA3804">
      <w:pPr>
        <w:pStyle w:val="Odstavecseseznamem"/>
        <w:jc w:val="both"/>
        <w:rPr>
          <w:rFonts w:ascii="Arial" w:hAnsi="Arial" w:cs="Arial"/>
        </w:rPr>
      </w:pPr>
    </w:p>
    <w:p w14:paraId="6EE7AC86" w14:textId="77777777" w:rsidR="00AA3804" w:rsidRDefault="00AA3804" w:rsidP="00AA3804">
      <w:pPr>
        <w:jc w:val="both"/>
        <w:rPr>
          <w:rFonts w:ascii="Arial" w:hAnsi="Arial" w:cs="Arial"/>
        </w:rPr>
      </w:pPr>
      <w:r>
        <w:rPr>
          <w:rFonts w:ascii="Arial" w:hAnsi="Arial" w:cs="Arial"/>
        </w:rPr>
        <w:t>Při posuzování občanské vybavenosti lokality budou pracovníci ASZ vycházet z certifikované metodiky Standardů dostupnosti veřejné infrastruktury</w:t>
      </w:r>
      <w:r>
        <w:rPr>
          <w:rStyle w:val="Znakapoznpodarou"/>
          <w:rFonts w:ascii="Arial" w:hAnsi="Arial" w:cs="Arial"/>
        </w:rPr>
        <w:footnoteReference w:id="3"/>
      </w:r>
      <w:r>
        <w:rPr>
          <w:rFonts w:ascii="Arial" w:hAnsi="Arial" w:cs="Arial"/>
        </w:rPr>
        <w:t>. Za relevantní jsou považovány veřejné i soukromé investice v území. Při posuzování rozvoje území budou výše hodnoceny již započaté akce oproti záměrům.</w:t>
      </w:r>
    </w:p>
    <w:p w14:paraId="78D9241F" w14:textId="77777777" w:rsidR="00AA3804" w:rsidRDefault="00AA3804" w:rsidP="00AA3804">
      <w:pPr>
        <w:pStyle w:val="Odstavecseseznamem"/>
        <w:jc w:val="both"/>
        <w:rPr>
          <w:rFonts w:ascii="Arial" w:hAnsi="Arial" w:cs="Arial"/>
        </w:rPr>
      </w:pPr>
    </w:p>
    <w:p w14:paraId="3D4BC29B" w14:textId="77777777" w:rsidR="00AA3804" w:rsidRDefault="00AA3804" w:rsidP="00AA3804">
      <w:pPr>
        <w:pStyle w:val="Odstavecseseznamem"/>
        <w:numPr>
          <w:ilvl w:val="0"/>
          <w:numId w:val="9"/>
        </w:numPr>
        <w:spacing w:after="160" w:line="256" w:lineRule="auto"/>
        <w:jc w:val="both"/>
        <w:rPr>
          <w:rFonts w:ascii="Arial" w:hAnsi="Arial" w:cs="Arial"/>
          <w:b/>
          <w:bCs/>
          <w:i/>
          <w:iCs/>
        </w:rPr>
      </w:pPr>
      <w:r>
        <w:rPr>
          <w:rFonts w:ascii="Arial" w:hAnsi="Arial" w:cs="Arial"/>
          <w:b/>
          <w:bCs/>
          <w:i/>
          <w:iCs/>
        </w:rPr>
        <w:t xml:space="preserve">Kontrola sociálního mixu (max. 15 bodů) </w:t>
      </w:r>
    </w:p>
    <w:p w14:paraId="1E758C34" w14:textId="77777777" w:rsidR="00AA3804" w:rsidRDefault="00AA3804" w:rsidP="00AA3804">
      <w:pPr>
        <w:pStyle w:val="Odstavecseseznamem"/>
        <w:jc w:val="both"/>
        <w:rPr>
          <w:rFonts w:ascii="Arial" w:hAnsi="Arial" w:cs="Arial"/>
          <w:b/>
          <w:bCs/>
        </w:rPr>
      </w:pPr>
    </w:p>
    <w:p w14:paraId="1E905CD7" w14:textId="13C969AF" w:rsidR="00AA3804" w:rsidRDefault="00AA3804" w:rsidP="00AA3804">
      <w:pPr>
        <w:pStyle w:val="Odstavecseseznamem"/>
        <w:numPr>
          <w:ilvl w:val="1"/>
          <w:numId w:val="9"/>
        </w:numPr>
        <w:spacing w:after="160" w:line="256" w:lineRule="auto"/>
        <w:jc w:val="both"/>
        <w:rPr>
          <w:rFonts w:ascii="Arial" w:hAnsi="Arial" w:cs="Arial"/>
          <w:b/>
          <w:bCs/>
        </w:rPr>
      </w:pPr>
      <w:r>
        <w:rPr>
          <w:rFonts w:ascii="Arial" w:hAnsi="Arial" w:cs="Arial"/>
        </w:rPr>
        <w:t>Podíl a charakter bytů ve vlastnictví obce v rámci daného ZSJ (0</w:t>
      </w:r>
      <w:r w:rsidR="008F1770">
        <w:rPr>
          <w:rFonts w:ascii="Arial" w:hAnsi="Arial" w:cs="Arial"/>
        </w:rPr>
        <w:t>–</w:t>
      </w:r>
      <w:r>
        <w:rPr>
          <w:rFonts w:ascii="Arial" w:hAnsi="Arial" w:cs="Arial"/>
        </w:rPr>
        <w:t>5)</w:t>
      </w:r>
    </w:p>
    <w:p w14:paraId="2346758E" w14:textId="75491A1F" w:rsidR="00AA3804" w:rsidRDefault="00AA3804" w:rsidP="00AA3804">
      <w:pPr>
        <w:pStyle w:val="Odstavecseseznamem"/>
        <w:numPr>
          <w:ilvl w:val="1"/>
          <w:numId w:val="9"/>
        </w:numPr>
        <w:spacing w:after="160" w:line="256" w:lineRule="auto"/>
        <w:jc w:val="both"/>
        <w:rPr>
          <w:rFonts w:ascii="Arial" w:hAnsi="Arial" w:cs="Arial"/>
          <w:b/>
          <w:bCs/>
        </w:rPr>
      </w:pPr>
      <w:r>
        <w:rPr>
          <w:rFonts w:ascii="Arial" w:hAnsi="Arial" w:cs="Arial"/>
        </w:rPr>
        <w:t>Parametry bytů a skladba nájemníků v domě (</w:t>
      </w:r>
      <w:r w:rsidR="008F1770">
        <w:rPr>
          <w:rFonts w:ascii="Arial" w:hAnsi="Arial" w:cs="Arial"/>
        </w:rPr>
        <w:t>0–5</w:t>
      </w:r>
      <w:r>
        <w:rPr>
          <w:rFonts w:ascii="Arial" w:hAnsi="Arial" w:cs="Arial"/>
        </w:rPr>
        <w:t>)</w:t>
      </w:r>
    </w:p>
    <w:p w14:paraId="61188D12" w14:textId="31887A87" w:rsidR="00AA3804" w:rsidRDefault="00AA3804" w:rsidP="00AA3804">
      <w:pPr>
        <w:pStyle w:val="Odstavecseseznamem"/>
        <w:numPr>
          <w:ilvl w:val="1"/>
          <w:numId w:val="9"/>
        </w:numPr>
        <w:spacing w:after="160" w:line="256" w:lineRule="auto"/>
        <w:jc w:val="both"/>
        <w:rPr>
          <w:rFonts w:ascii="Arial" w:hAnsi="Arial" w:cs="Arial"/>
          <w:b/>
          <w:bCs/>
        </w:rPr>
      </w:pPr>
      <w:r>
        <w:rPr>
          <w:rFonts w:ascii="Arial" w:hAnsi="Arial" w:cs="Arial"/>
        </w:rPr>
        <w:t>Neinvestiční aktivity podporující stabilizaci sociálního mixu v daném ZSJ (0</w:t>
      </w:r>
      <w:r w:rsidR="008F1770">
        <w:rPr>
          <w:rFonts w:ascii="Arial" w:hAnsi="Arial" w:cs="Arial"/>
        </w:rPr>
        <w:t>–</w:t>
      </w:r>
      <w:r>
        <w:rPr>
          <w:rFonts w:ascii="Arial" w:hAnsi="Arial" w:cs="Arial"/>
        </w:rPr>
        <w:t>5)</w:t>
      </w:r>
    </w:p>
    <w:p w14:paraId="4E05AA9E" w14:textId="77777777" w:rsidR="00AA3804" w:rsidRDefault="00AA3804" w:rsidP="00AA3804">
      <w:pPr>
        <w:jc w:val="both"/>
        <w:rPr>
          <w:rFonts w:ascii="Arial" w:hAnsi="Arial" w:cs="Arial"/>
        </w:rPr>
      </w:pPr>
      <w:r>
        <w:rPr>
          <w:rFonts w:ascii="Arial" w:hAnsi="Arial" w:cs="Arial"/>
        </w:rPr>
        <w:t>Při posuzování parametrů bytů a skladby nájemníků bude přihlíženo především k vhodnosti dispozice bytů vzhledem k vybrané CS, dále ke kompatibilitě vybraných CS, bude zjišťováno, zda bude socioekonomická skladba nájemníků v domě příznivější, než v sousedství apod. Aktivitou podporující stabilizaci sociálního mixu může být např. realizovaná komunitní práce, mapování sociálního mixu ze strany obce, strategický plán na udržení sociálního mixu apod.</w:t>
      </w:r>
    </w:p>
    <w:p w14:paraId="4A6F45F1" w14:textId="77777777" w:rsidR="00AA3804" w:rsidRDefault="00AA3804" w:rsidP="00AA3804">
      <w:pPr>
        <w:pStyle w:val="Odstavecseseznamem"/>
        <w:jc w:val="both"/>
        <w:rPr>
          <w:rFonts w:ascii="Arial" w:hAnsi="Arial" w:cs="Arial"/>
        </w:rPr>
      </w:pPr>
    </w:p>
    <w:p w14:paraId="29DB0086" w14:textId="77777777" w:rsidR="00AA3804" w:rsidRDefault="00AA3804" w:rsidP="00AA3804">
      <w:pPr>
        <w:pStyle w:val="Odstavecseseznamem"/>
        <w:numPr>
          <w:ilvl w:val="0"/>
          <w:numId w:val="9"/>
        </w:numPr>
        <w:spacing w:after="160" w:line="256" w:lineRule="auto"/>
        <w:jc w:val="both"/>
        <w:rPr>
          <w:rFonts w:ascii="Arial" w:hAnsi="Arial" w:cs="Arial"/>
          <w:b/>
          <w:bCs/>
          <w:i/>
          <w:iCs/>
        </w:rPr>
      </w:pPr>
      <w:r>
        <w:rPr>
          <w:rFonts w:ascii="Arial" w:hAnsi="Arial" w:cs="Arial"/>
          <w:b/>
          <w:bCs/>
          <w:i/>
          <w:iCs/>
        </w:rPr>
        <w:t>Měkké dovednosti samosprávy (max. 10 bodů)</w:t>
      </w:r>
    </w:p>
    <w:p w14:paraId="51AFE394" w14:textId="77777777" w:rsidR="00AA3804" w:rsidRDefault="00AA3804" w:rsidP="00AA3804">
      <w:pPr>
        <w:pStyle w:val="Odstavecseseznamem"/>
        <w:jc w:val="both"/>
        <w:rPr>
          <w:rFonts w:ascii="Arial" w:hAnsi="Arial" w:cs="Arial"/>
          <w:b/>
          <w:bCs/>
        </w:rPr>
      </w:pPr>
    </w:p>
    <w:p w14:paraId="63BA88DE" w14:textId="77777777" w:rsidR="00AA3804" w:rsidRDefault="00AA3804" w:rsidP="00AA3804">
      <w:pPr>
        <w:pStyle w:val="Odstavecseseznamem"/>
        <w:numPr>
          <w:ilvl w:val="1"/>
          <w:numId w:val="9"/>
        </w:numPr>
        <w:spacing w:after="160" w:line="256" w:lineRule="auto"/>
        <w:jc w:val="both"/>
        <w:rPr>
          <w:rFonts w:ascii="Arial" w:hAnsi="Arial" w:cs="Arial"/>
          <w:b/>
          <w:bCs/>
        </w:rPr>
      </w:pPr>
      <w:r>
        <w:rPr>
          <w:rFonts w:ascii="Arial" w:hAnsi="Arial" w:cs="Arial"/>
        </w:rPr>
        <w:t>Připravenost podpory nájemníků (0-5)</w:t>
      </w:r>
    </w:p>
    <w:p w14:paraId="0621A044" w14:textId="77777777" w:rsidR="00AA3804" w:rsidRDefault="00AA3804" w:rsidP="00AA3804">
      <w:pPr>
        <w:pStyle w:val="Odstavecseseznamem"/>
        <w:numPr>
          <w:ilvl w:val="1"/>
          <w:numId w:val="9"/>
        </w:numPr>
        <w:spacing w:after="160" w:line="256" w:lineRule="auto"/>
        <w:jc w:val="both"/>
        <w:rPr>
          <w:rFonts w:ascii="Arial" w:hAnsi="Arial" w:cs="Arial"/>
          <w:b/>
          <w:bCs/>
        </w:rPr>
      </w:pPr>
      <w:r>
        <w:rPr>
          <w:rFonts w:ascii="Arial" w:hAnsi="Arial" w:cs="Arial"/>
        </w:rPr>
        <w:t>Systém výběru a zajištění podpory nájemníkům (0-5)</w:t>
      </w:r>
    </w:p>
    <w:p w14:paraId="530E0E98" w14:textId="77777777" w:rsidR="00AA3804" w:rsidRDefault="00AA3804" w:rsidP="00AA3804">
      <w:pPr>
        <w:jc w:val="both"/>
        <w:rPr>
          <w:rFonts w:ascii="Arial" w:hAnsi="Arial" w:cs="Arial"/>
        </w:rPr>
      </w:pPr>
      <w:r>
        <w:rPr>
          <w:rFonts w:ascii="Arial" w:hAnsi="Arial" w:cs="Arial"/>
        </w:rPr>
        <w:t xml:space="preserve">Ohledně připravenosti podpory nájemníků bude posuzována především schopnost zajistit adekvátní podporu nájemníkům (vzhledem k CS), tj. vyčleněný počet úvazků, dosavadní zkušenosti poskytovatele, plán vzdělávání, případně obeznámenost s metodami </w:t>
      </w:r>
      <w:proofErr w:type="spellStart"/>
      <w:r>
        <w:rPr>
          <w:rFonts w:ascii="Arial" w:hAnsi="Arial" w:cs="Arial"/>
        </w:rPr>
        <w:t>Housing</w:t>
      </w:r>
      <w:proofErr w:type="spellEnd"/>
      <w:r>
        <w:rPr>
          <w:rFonts w:ascii="Arial" w:hAnsi="Arial" w:cs="Arial"/>
        </w:rPr>
        <w:t>-led/</w:t>
      </w:r>
      <w:proofErr w:type="spellStart"/>
      <w:r>
        <w:rPr>
          <w:rFonts w:ascii="Arial" w:hAnsi="Arial" w:cs="Arial"/>
        </w:rPr>
        <w:t>housing</w:t>
      </w:r>
      <w:proofErr w:type="spellEnd"/>
      <w:r>
        <w:rPr>
          <w:rFonts w:ascii="Arial" w:hAnsi="Arial" w:cs="Arial"/>
        </w:rPr>
        <w:t xml:space="preserve"> </w:t>
      </w:r>
      <w:proofErr w:type="spellStart"/>
      <w:r>
        <w:rPr>
          <w:rFonts w:ascii="Arial" w:hAnsi="Arial" w:cs="Arial"/>
        </w:rPr>
        <w:t>first</w:t>
      </w:r>
      <w:proofErr w:type="spellEnd"/>
      <w:r>
        <w:rPr>
          <w:rFonts w:ascii="Arial" w:hAnsi="Arial" w:cs="Arial"/>
        </w:rPr>
        <w:t>.</w:t>
      </w:r>
    </w:p>
    <w:p w14:paraId="5D52B868" w14:textId="77777777" w:rsidR="00AA3804" w:rsidRDefault="00AA3804" w:rsidP="00AA3804">
      <w:pPr>
        <w:jc w:val="both"/>
        <w:rPr>
          <w:rFonts w:ascii="Arial" w:hAnsi="Arial" w:cs="Arial"/>
        </w:rPr>
      </w:pPr>
    </w:p>
    <w:p w14:paraId="497949CB" w14:textId="77580A3E" w:rsidR="00AA3804" w:rsidRDefault="00AA3804" w:rsidP="00AA3804">
      <w:pPr>
        <w:pStyle w:val="Odstavecseseznamem"/>
        <w:numPr>
          <w:ilvl w:val="0"/>
          <w:numId w:val="9"/>
        </w:numPr>
        <w:spacing w:after="160" w:line="256" w:lineRule="auto"/>
        <w:jc w:val="both"/>
        <w:rPr>
          <w:rFonts w:ascii="Arial" w:hAnsi="Arial" w:cs="Arial"/>
          <w:b/>
          <w:bCs/>
          <w:i/>
          <w:iCs/>
        </w:rPr>
      </w:pPr>
      <w:r>
        <w:rPr>
          <w:rFonts w:ascii="Arial" w:hAnsi="Arial" w:cs="Arial"/>
          <w:b/>
          <w:bCs/>
          <w:i/>
          <w:iCs/>
        </w:rPr>
        <w:t xml:space="preserve">Zvláštní okolnosti </w:t>
      </w:r>
      <w:r w:rsidR="00692987">
        <w:rPr>
          <w:rFonts w:ascii="Arial" w:hAnsi="Arial" w:cs="Arial"/>
          <w:b/>
          <w:bCs/>
          <w:i/>
          <w:iCs/>
        </w:rPr>
        <w:t>(max.</w:t>
      </w:r>
      <w:r>
        <w:rPr>
          <w:rFonts w:ascii="Arial" w:hAnsi="Arial" w:cs="Arial"/>
          <w:b/>
          <w:bCs/>
          <w:i/>
          <w:iCs/>
        </w:rPr>
        <w:t xml:space="preserve"> 5 bodů)</w:t>
      </w:r>
    </w:p>
    <w:p w14:paraId="6312EB2A" w14:textId="77777777" w:rsidR="00517AF2" w:rsidRPr="00231982" w:rsidRDefault="00517AF2" w:rsidP="00231982">
      <w:pPr>
        <w:jc w:val="both"/>
        <w:rPr>
          <w:rFonts w:ascii="Arial" w:hAnsi="Arial" w:cs="Arial"/>
        </w:rPr>
      </w:pPr>
    </w:p>
    <w:p w14:paraId="7E1F4A8B" w14:textId="77777777" w:rsidR="00901041" w:rsidRPr="00231982" w:rsidRDefault="00901041" w:rsidP="00231982">
      <w:pPr>
        <w:jc w:val="both"/>
        <w:rPr>
          <w:rFonts w:ascii="Arial" w:hAnsi="Arial" w:cs="Arial"/>
        </w:rPr>
      </w:pPr>
    </w:p>
    <w:bookmarkEnd w:id="0"/>
    <w:bookmarkEnd w:id="1"/>
    <w:bookmarkEnd w:id="2"/>
    <w:bookmarkEnd w:id="3"/>
    <w:bookmarkEnd w:id="4"/>
    <w:sectPr w:rsidR="00901041" w:rsidRPr="00231982" w:rsidSect="0072360C">
      <w:headerReference w:type="first" r:id="rId14"/>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B62095" w14:textId="77777777" w:rsidR="00092AAE" w:rsidRDefault="00092AAE" w:rsidP="00634381">
      <w:pPr>
        <w:spacing w:after="0" w:line="240" w:lineRule="auto"/>
      </w:pPr>
      <w:r>
        <w:separator/>
      </w:r>
    </w:p>
  </w:endnote>
  <w:endnote w:type="continuationSeparator" w:id="0">
    <w:p w14:paraId="04ECD653" w14:textId="77777777" w:rsidR="00092AAE" w:rsidRDefault="00092AAE" w:rsidP="00634381">
      <w:pPr>
        <w:spacing w:after="0" w:line="240" w:lineRule="auto"/>
      </w:pPr>
      <w:r>
        <w:continuationSeparator/>
      </w:r>
    </w:p>
  </w:endnote>
  <w:endnote w:type="continuationNotice" w:id="1">
    <w:p w14:paraId="0F5F5B31" w14:textId="77777777" w:rsidR="00092AAE" w:rsidRDefault="00092A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9650711"/>
      <w:docPartObj>
        <w:docPartGallery w:val="Page Numbers (Bottom of Page)"/>
        <w:docPartUnique/>
      </w:docPartObj>
    </w:sdtPr>
    <w:sdtEndPr/>
    <w:sdtContent>
      <w:p w14:paraId="02932BAC" w14:textId="19DC1DE2" w:rsidR="00AA3804" w:rsidRDefault="00AA3804">
        <w:pPr>
          <w:pStyle w:val="Zpat"/>
          <w:jc w:val="right"/>
        </w:pPr>
        <w:r>
          <w:fldChar w:fldCharType="begin"/>
        </w:r>
        <w:r>
          <w:instrText>PAGE   \* MERGEFORMAT</w:instrText>
        </w:r>
        <w:r>
          <w:fldChar w:fldCharType="separate"/>
        </w:r>
        <w:r>
          <w:t>2</w:t>
        </w:r>
        <w:r>
          <w:fldChar w:fldCharType="end"/>
        </w:r>
      </w:p>
    </w:sdtContent>
  </w:sdt>
  <w:p w14:paraId="6F4B6526" w14:textId="77777777" w:rsidR="00A10DB5" w:rsidRDefault="00A10DB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F6A62E" w14:textId="77777777" w:rsidR="00092AAE" w:rsidRDefault="00092AAE" w:rsidP="00634381">
      <w:pPr>
        <w:spacing w:after="0" w:line="240" w:lineRule="auto"/>
      </w:pPr>
      <w:r>
        <w:separator/>
      </w:r>
    </w:p>
  </w:footnote>
  <w:footnote w:type="continuationSeparator" w:id="0">
    <w:p w14:paraId="78A58BE0" w14:textId="77777777" w:rsidR="00092AAE" w:rsidRDefault="00092AAE" w:rsidP="00634381">
      <w:pPr>
        <w:spacing w:after="0" w:line="240" w:lineRule="auto"/>
      </w:pPr>
      <w:r>
        <w:continuationSeparator/>
      </w:r>
    </w:p>
  </w:footnote>
  <w:footnote w:type="continuationNotice" w:id="1">
    <w:p w14:paraId="0C7760B8" w14:textId="77777777" w:rsidR="00092AAE" w:rsidRDefault="00092AAE">
      <w:pPr>
        <w:spacing w:after="0" w:line="240" w:lineRule="auto"/>
      </w:pPr>
    </w:p>
  </w:footnote>
  <w:footnote w:id="2">
    <w:p w14:paraId="4D10CCAF" w14:textId="2E014A59" w:rsidR="00AA3804" w:rsidRPr="00942BAF" w:rsidRDefault="00AA3804" w:rsidP="00942BAF">
      <w:pPr>
        <w:pStyle w:val="Textpoznpodarou"/>
        <w:jc w:val="both"/>
        <w:rPr>
          <w:rFonts w:ascii="Arial" w:hAnsi="Arial" w:cs="Arial"/>
        </w:rPr>
      </w:pPr>
      <w:r w:rsidRPr="00942BAF">
        <w:rPr>
          <w:rStyle w:val="Znakapoznpodarou"/>
          <w:rFonts w:ascii="Arial" w:hAnsi="Arial" w:cs="Arial"/>
          <w:sz w:val="18"/>
          <w:szCs w:val="18"/>
        </w:rPr>
        <w:footnoteRef/>
      </w:r>
      <w:r w:rsidRPr="00942BAF">
        <w:rPr>
          <w:rFonts w:ascii="Arial" w:hAnsi="Arial" w:cs="Arial"/>
          <w:sz w:val="18"/>
          <w:szCs w:val="18"/>
        </w:rPr>
        <w:t xml:space="preserve"> Realizačním tým zde označuje: 1) kontaktní osoba za žadatele 2) ostatní přizvaní účastníci rozhovoru. Výběr a počet osob přítomných rozhovoru s týmem ASZ je čistě na úvaze žadatele. Osoby přítomné rozhovoru by měly být schopné fundovaně odpovídat na dotazy z daných okruhů. Je zodpovědností žadatele zajistit, aby tým ASZ v</w:t>
      </w:r>
      <w:r w:rsidR="00942BAF" w:rsidRPr="00942BAF">
        <w:rPr>
          <w:rFonts w:ascii="Arial" w:hAnsi="Arial" w:cs="Arial"/>
          <w:sz w:val="18"/>
          <w:szCs w:val="18"/>
        </w:rPr>
        <w:t> </w:t>
      </w:r>
      <w:r w:rsidRPr="00942BAF">
        <w:rPr>
          <w:rFonts w:ascii="Arial" w:hAnsi="Arial" w:cs="Arial"/>
          <w:sz w:val="18"/>
          <w:szCs w:val="18"/>
        </w:rPr>
        <w:t>rozhovoru odpovědi získal (může tedy jít o zástupce např. sociálního odboru, partnerské NNO, starostu/</w:t>
      </w:r>
      <w:proofErr w:type="spellStart"/>
      <w:r w:rsidRPr="00942BAF">
        <w:rPr>
          <w:rFonts w:ascii="Arial" w:hAnsi="Arial" w:cs="Arial"/>
          <w:sz w:val="18"/>
          <w:szCs w:val="18"/>
        </w:rPr>
        <w:t>tku</w:t>
      </w:r>
      <w:proofErr w:type="spellEnd"/>
      <w:r w:rsidRPr="00942BAF">
        <w:rPr>
          <w:rFonts w:ascii="Arial" w:hAnsi="Arial" w:cs="Arial"/>
          <w:sz w:val="18"/>
          <w:szCs w:val="18"/>
        </w:rPr>
        <w:t>, gesční/ho radní/ho apod.)</w:t>
      </w:r>
    </w:p>
  </w:footnote>
  <w:footnote w:id="3">
    <w:p w14:paraId="18892A8C" w14:textId="77777777" w:rsidR="00AA3804" w:rsidRPr="00504801" w:rsidRDefault="00AA3804" w:rsidP="00AA3804">
      <w:pPr>
        <w:pStyle w:val="Textpoznpodarou"/>
        <w:rPr>
          <w:rFonts w:ascii="Arial" w:hAnsi="Arial" w:cs="Arial"/>
          <w:sz w:val="18"/>
          <w:szCs w:val="18"/>
        </w:rPr>
      </w:pPr>
      <w:r w:rsidRPr="00504801">
        <w:rPr>
          <w:rStyle w:val="Znakapoznpodarou"/>
          <w:rFonts w:ascii="Arial" w:hAnsi="Arial" w:cs="Arial"/>
          <w:sz w:val="18"/>
          <w:szCs w:val="18"/>
        </w:rPr>
        <w:footnoteRef/>
      </w:r>
      <w:r w:rsidRPr="00504801">
        <w:rPr>
          <w:rFonts w:ascii="Arial" w:hAnsi="Arial" w:cs="Arial"/>
          <w:sz w:val="18"/>
          <w:szCs w:val="18"/>
        </w:rPr>
        <w:t xml:space="preserve"> MAIER, Karel, et al. Standardy dostupnosti veřejné infrastruktury (TAČR Beta – TB050MMR001). Praha. 2020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40AA6" w14:textId="0ABAF250" w:rsidR="00A10DB5" w:rsidRDefault="00A10DB5" w:rsidP="008A17FD">
    <w:pPr>
      <w:pStyle w:val="Zhlav"/>
      <w:jc w:val="center"/>
    </w:pPr>
  </w:p>
  <w:p w14:paraId="4449436B" w14:textId="77777777" w:rsidR="00A10DB5" w:rsidRDefault="00A10DB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FB725D" w14:textId="77777777" w:rsidR="00E10C9F" w:rsidRDefault="00E10C9F">
    <w:pPr>
      <w:pStyle w:val="Zhlav"/>
    </w:pPr>
    <w:r>
      <w:rPr>
        <w:noProof/>
      </w:rPr>
      <w:drawing>
        <wp:inline distT="0" distB="0" distL="0" distR="0" wp14:anchorId="435F1EF2" wp14:editId="3332F67E">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D754045"/>
    <w:multiLevelType w:val="hybridMultilevel"/>
    <w:tmpl w:val="C400AC1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3940C91"/>
    <w:multiLevelType w:val="hybridMultilevel"/>
    <w:tmpl w:val="ABECF8F8"/>
    <w:lvl w:ilvl="0" w:tplc="0405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484826A5"/>
    <w:multiLevelType w:val="hybridMultilevel"/>
    <w:tmpl w:val="96049214"/>
    <w:lvl w:ilvl="0" w:tplc="0405000F">
      <w:start w:val="1"/>
      <w:numFmt w:val="decimal"/>
      <w:lvlText w:val="%1."/>
      <w:lvlJc w:val="left"/>
      <w:pPr>
        <w:ind w:left="720" w:hanging="360"/>
      </w:pPr>
    </w:lvl>
    <w:lvl w:ilvl="1" w:tplc="6D086D1C">
      <w:start w:val="1"/>
      <w:numFmt w:val="lowerLetter"/>
      <w:lvlText w:val="%2."/>
      <w:lvlJc w:val="left"/>
      <w:pPr>
        <w:ind w:left="1440" w:hanging="360"/>
      </w:pPr>
      <w:rPr>
        <w:b w:val="0"/>
        <w:bCs w:val="0"/>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647F35CF"/>
    <w:multiLevelType w:val="hybridMultilevel"/>
    <w:tmpl w:val="09DA59DC"/>
    <w:lvl w:ilvl="0" w:tplc="04050001">
      <w:start w:val="1"/>
      <w:numFmt w:val="bullet"/>
      <w:lvlText w:val=""/>
      <w:lvlJc w:val="left"/>
      <w:pPr>
        <w:ind w:left="720" w:hanging="360"/>
      </w:pPr>
      <w:rPr>
        <w:rFonts w:ascii="Symbol" w:hAnsi="Symbol" w:hint="default"/>
      </w:rPr>
    </w:lvl>
    <w:lvl w:ilvl="1" w:tplc="0405000F">
      <w:start w:val="1"/>
      <w:numFmt w:val="decimal"/>
      <w:lvlText w:val="%2."/>
      <w:lvlJc w:val="left"/>
      <w:pPr>
        <w:ind w:left="1440" w:hanging="360"/>
      </w:p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633607054">
    <w:abstractNumId w:val="0"/>
  </w:num>
  <w:num w:numId="2" w16cid:durableId="157618715">
    <w:abstractNumId w:val="3"/>
  </w:num>
  <w:num w:numId="3" w16cid:durableId="1292979081">
    <w:abstractNumId w:val="1"/>
  </w:num>
  <w:num w:numId="4" w16cid:durableId="460345566">
    <w:abstractNumId w:val="4"/>
  </w:num>
  <w:num w:numId="5" w16cid:durableId="258367270">
    <w:abstractNumId w:val="2"/>
  </w:num>
  <w:num w:numId="6" w16cid:durableId="1451894215">
    <w:abstractNumId w:val="1"/>
  </w:num>
  <w:num w:numId="7" w16cid:durableId="683744290">
    <w:abstractNumId w:val="4"/>
    <w:lvlOverride w:ilvl="0"/>
    <w:lvlOverride w:ilvl="1">
      <w:startOverride w:val="1"/>
    </w:lvlOverride>
    <w:lvlOverride w:ilvl="2"/>
    <w:lvlOverride w:ilvl="3"/>
    <w:lvlOverride w:ilvl="4"/>
    <w:lvlOverride w:ilvl="5"/>
    <w:lvlOverride w:ilvl="6"/>
    <w:lvlOverride w:ilvl="7"/>
    <w:lvlOverride w:ilvl="8"/>
  </w:num>
  <w:num w:numId="8" w16cid:durableId="208637045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6499599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grammar="clean"/>
  <w:trackRevisions/>
  <w:defaultTabStop w:val="709"/>
  <w:hyphenationZone w:val="425"/>
  <w:characterSpacingControl w:val="doNotCompress"/>
  <w:hdrShapeDefaults>
    <o:shapedefaults v:ext="edit" spidmax="131073"/>
  </w:hdrShapeDefaults>
  <w:footnotePr>
    <w:footnote w:id="-1"/>
    <w:footnote w:id="0"/>
    <w:footnote w:id="1"/>
  </w:footnotePr>
  <w:endnotePr>
    <w:pos w:val="sectEnd"/>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057B"/>
    <w:rsid w:val="0000149C"/>
    <w:rsid w:val="0000269F"/>
    <w:rsid w:val="000027AB"/>
    <w:rsid w:val="0000288A"/>
    <w:rsid w:val="00004AEE"/>
    <w:rsid w:val="00006FEC"/>
    <w:rsid w:val="0000726E"/>
    <w:rsid w:val="000104CB"/>
    <w:rsid w:val="000122E6"/>
    <w:rsid w:val="000142D5"/>
    <w:rsid w:val="00014ECB"/>
    <w:rsid w:val="00014F63"/>
    <w:rsid w:val="00015635"/>
    <w:rsid w:val="000203C9"/>
    <w:rsid w:val="0002073C"/>
    <w:rsid w:val="00023758"/>
    <w:rsid w:val="000300F8"/>
    <w:rsid w:val="00030181"/>
    <w:rsid w:val="00031801"/>
    <w:rsid w:val="0003188B"/>
    <w:rsid w:val="00035EC3"/>
    <w:rsid w:val="00036A3E"/>
    <w:rsid w:val="00040334"/>
    <w:rsid w:val="00041C08"/>
    <w:rsid w:val="00041EC8"/>
    <w:rsid w:val="000446C1"/>
    <w:rsid w:val="00045329"/>
    <w:rsid w:val="000515F1"/>
    <w:rsid w:val="000542DC"/>
    <w:rsid w:val="00057399"/>
    <w:rsid w:val="00057C7F"/>
    <w:rsid w:val="0006044E"/>
    <w:rsid w:val="00060932"/>
    <w:rsid w:val="000645B8"/>
    <w:rsid w:val="000646A2"/>
    <w:rsid w:val="00064958"/>
    <w:rsid w:val="00065125"/>
    <w:rsid w:val="000661B9"/>
    <w:rsid w:val="00070FE9"/>
    <w:rsid w:val="00072AC7"/>
    <w:rsid w:val="00073049"/>
    <w:rsid w:val="000737DE"/>
    <w:rsid w:val="00076F5D"/>
    <w:rsid w:val="000775F2"/>
    <w:rsid w:val="00080FA4"/>
    <w:rsid w:val="000855EE"/>
    <w:rsid w:val="000871BA"/>
    <w:rsid w:val="00091111"/>
    <w:rsid w:val="00092AAE"/>
    <w:rsid w:val="00092EAE"/>
    <w:rsid w:val="00092FB7"/>
    <w:rsid w:val="000935BA"/>
    <w:rsid w:val="00094C9E"/>
    <w:rsid w:val="00095F04"/>
    <w:rsid w:val="00096838"/>
    <w:rsid w:val="000969B9"/>
    <w:rsid w:val="000A2CF9"/>
    <w:rsid w:val="000A404C"/>
    <w:rsid w:val="000A5D85"/>
    <w:rsid w:val="000A6F55"/>
    <w:rsid w:val="000A70CC"/>
    <w:rsid w:val="000A75EC"/>
    <w:rsid w:val="000B0369"/>
    <w:rsid w:val="000B2428"/>
    <w:rsid w:val="000B2EC3"/>
    <w:rsid w:val="000B5C1F"/>
    <w:rsid w:val="000B5F15"/>
    <w:rsid w:val="000B621D"/>
    <w:rsid w:val="000B6BB5"/>
    <w:rsid w:val="000C2DEF"/>
    <w:rsid w:val="000C38F5"/>
    <w:rsid w:val="000C5A94"/>
    <w:rsid w:val="000C7681"/>
    <w:rsid w:val="000D2C4C"/>
    <w:rsid w:val="000D3AEF"/>
    <w:rsid w:val="000D56C2"/>
    <w:rsid w:val="000D5E14"/>
    <w:rsid w:val="000D7CA1"/>
    <w:rsid w:val="000E05ED"/>
    <w:rsid w:val="000E1384"/>
    <w:rsid w:val="000E24B7"/>
    <w:rsid w:val="000E26E9"/>
    <w:rsid w:val="000E324D"/>
    <w:rsid w:val="000E382B"/>
    <w:rsid w:val="000E3E94"/>
    <w:rsid w:val="000E4312"/>
    <w:rsid w:val="000E4DD3"/>
    <w:rsid w:val="000E61EE"/>
    <w:rsid w:val="000F15F1"/>
    <w:rsid w:val="000F3300"/>
    <w:rsid w:val="000F394E"/>
    <w:rsid w:val="000F4062"/>
    <w:rsid w:val="000F484E"/>
    <w:rsid w:val="000F6853"/>
    <w:rsid w:val="000F6876"/>
    <w:rsid w:val="000F78D1"/>
    <w:rsid w:val="00106FBD"/>
    <w:rsid w:val="001076B7"/>
    <w:rsid w:val="001128E5"/>
    <w:rsid w:val="00112F45"/>
    <w:rsid w:val="0011515F"/>
    <w:rsid w:val="001152BF"/>
    <w:rsid w:val="00117046"/>
    <w:rsid w:val="00117BCA"/>
    <w:rsid w:val="00117DA2"/>
    <w:rsid w:val="00120EBD"/>
    <w:rsid w:val="00121B66"/>
    <w:rsid w:val="00122F9F"/>
    <w:rsid w:val="00125B33"/>
    <w:rsid w:val="0012750A"/>
    <w:rsid w:val="00127CF7"/>
    <w:rsid w:val="001304C7"/>
    <w:rsid w:val="00131ED8"/>
    <w:rsid w:val="00134A23"/>
    <w:rsid w:val="00134E9F"/>
    <w:rsid w:val="0013592A"/>
    <w:rsid w:val="00136EA2"/>
    <w:rsid w:val="00140C24"/>
    <w:rsid w:val="00141C5B"/>
    <w:rsid w:val="00141E51"/>
    <w:rsid w:val="00143E11"/>
    <w:rsid w:val="00145074"/>
    <w:rsid w:val="001503C5"/>
    <w:rsid w:val="001509EB"/>
    <w:rsid w:val="00155179"/>
    <w:rsid w:val="0015594C"/>
    <w:rsid w:val="00155A3F"/>
    <w:rsid w:val="00156052"/>
    <w:rsid w:val="001605CE"/>
    <w:rsid w:val="00161195"/>
    <w:rsid w:val="0016204C"/>
    <w:rsid w:val="00164E34"/>
    <w:rsid w:val="001656F4"/>
    <w:rsid w:val="0016668A"/>
    <w:rsid w:val="00167A4E"/>
    <w:rsid w:val="00170FD8"/>
    <w:rsid w:val="001718AB"/>
    <w:rsid w:val="001739A8"/>
    <w:rsid w:val="00174CA1"/>
    <w:rsid w:val="00176DE8"/>
    <w:rsid w:val="00177DB0"/>
    <w:rsid w:val="0018322F"/>
    <w:rsid w:val="00183EDF"/>
    <w:rsid w:val="00184434"/>
    <w:rsid w:val="001850A3"/>
    <w:rsid w:val="001876C8"/>
    <w:rsid w:val="00187E9E"/>
    <w:rsid w:val="001908B7"/>
    <w:rsid w:val="00191A13"/>
    <w:rsid w:val="00192348"/>
    <w:rsid w:val="0019255E"/>
    <w:rsid w:val="00195424"/>
    <w:rsid w:val="001979EB"/>
    <w:rsid w:val="00197C61"/>
    <w:rsid w:val="001A1111"/>
    <w:rsid w:val="001A33E6"/>
    <w:rsid w:val="001A6956"/>
    <w:rsid w:val="001A73D3"/>
    <w:rsid w:val="001A7B8B"/>
    <w:rsid w:val="001A7CEC"/>
    <w:rsid w:val="001B153E"/>
    <w:rsid w:val="001B37E4"/>
    <w:rsid w:val="001B61B7"/>
    <w:rsid w:val="001B755D"/>
    <w:rsid w:val="001C424A"/>
    <w:rsid w:val="001C618A"/>
    <w:rsid w:val="001D00D6"/>
    <w:rsid w:val="001D0DD8"/>
    <w:rsid w:val="001D15C3"/>
    <w:rsid w:val="001D2A83"/>
    <w:rsid w:val="001D2C65"/>
    <w:rsid w:val="001D3888"/>
    <w:rsid w:val="001D4569"/>
    <w:rsid w:val="001D6C57"/>
    <w:rsid w:val="001E045F"/>
    <w:rsid w:val="001E18AA"/>
    <w:rsid w:val="001E23AB"/>
    <w:rsid w:val="001E2B89"/>
    <w:rsid w:val="001E2E9A"/>
    <w:rsid w:val="001E49BC"/>
    <w:rsid w:val="001E6323"/>
    <w:rsid w:val="001E6643"/>
    <w:rsid w:val="001F3907"/>
    <w:rsid w:val="001F43CB"/>
    <w:rsid w:val="001F458E"/>
    <w:rsid w:val="001F5E75"/>
    <w:rsid w:val="00200E58"/>
    <w:rsid w:val="002011C3"/>
    <w:rsid w:val="00203690"/>
    <w:rsid w:val="0020369D"/>
    <w:rsid w:val="00203ADB"/>
    <w:rsid w:val="00204CC0"/>
    <w:rsid w:val="00204D9A"/>
    <w:rsid w:val="00204ECC"/>
    <w:rsid w:val="0020609C"/>
    <w:rsid w:val="002069B6"/>
    <w:rsid w:val="00206AC8"/>
    <w:rsid w:val="00206E9E"/>
    <w:rsid w:val="00213558"/>
    <w:rsid w:val="00215AD0"/>
    <w:rsid w:val="00216AEA"/>
    <w:rsid w:val="00217266"/>
    <w:rsid w:val="0021750B"/>
    <w:rsid w:val="00217805"/>
    <w:rsid w:val="0022095A"/>
    <w:rsid w:val="00222398"/>
    <w:rsid w:val="00222B7C"/>
    <w:rsid w:val="00222EB2"/>
    <w:rsid w:val="00224083"/>
    <w:rsid w:val="00224401"/>
    <w:rsid w:val="0022444E"/>
    <w:rsid w:val="00224E64"/>
    <w:rsid w:val="00225221"/>
    <w:rsid w:val="00225322"/>
    <w:rsid w:val="0022616C"/>
    <w:rsid w:val="002265AB"/>
    <w:rsid w:val="002315E8"/>
    <w:rsid w:val="00231982"/>
    <w:rsid w:val="00231F50"/>
    <w:rsid w:val="0023363A"/>
    <w:rsid w:val="00236F49"/>
    <w:rsid w:val="002409E6"/>
    <w:rsid w:val="00245A55"/>
    <w:rsid w:val="00246019"/>
    <w:rsid w:val="00247120"/>
    <w:rsid w:val="002474BF"/>
    <w:rsid w:val="00253569"/>
    <w:rsid w:val="00253B2B"/>
    <w:rsid w:val="002552E9"/>
    <w:rsid w:val="0025714C"/>
    <w:rsid w:val="002601D2"/>
    <w:rsid w:val="002632DB"/>
    <w:rsid w:val="00263ED0"/>
    <w:rsid w:val="00264FCF"/>
    <w:rsid w:val="0026662E"/>
    <w:rsid w:val="002675E5"/>
    <w:rsid w:val="00267806"/>
    <w:rsid w:val="00274658"/>
    <w:rsid w:val="002746C9"/>
    <w:rsid w:val="002748BB"/>
    <w:rsid w:val="0027619A"/>
    <w:rsid w:val="00276203"/>
    <w:rsid w:val="00280189"/>
    <w:rsid w:val="00280629"/>
    <w:rsid w:val="0028148B"/>
    <w:rsid w:val="0028208C"/>
    <w:rsid w:val="0028316D"/>
    <w:rsid w:val="0028357D"/>
    <w:rsid w:val="00286657"/>
    <w:rsid w:val="00286C01"/>
    <w:rsid w:val="002877DD"/>
    <w:rsid w:val="00287FEC"/>
    <w:rsid w:val="002931D3"/>
    <w:rsid w:val="00294A31"/>
    <w:rsid w:val="002A160C"/>
    <w:rsid w:val="002A3B10"/>
    <w:rsid w:val="002A3B9A"/>
    <w:rsid w:val="002A3F0D"/>
    <w:rsid w:val="002A42EF"/>
    <w:rsid w:val="002A6558"/>
    <w:rsid w:val="002B0DDC"/>
    <w:rsid w:val="002B102F"/>
    <w:rsid w:val="002B181D"/>
    <w:rsid w:val="002B1B8E"/>
    <w:rsid w:val="002B4524"/>
    <w:rsid w:val="002B5CC8"/>
    <w:rsid w:val="002B5FF0"/>
    <w:rsid w:val="002B60F4"/>
    <w:rsid w:val="002B66C7"/>
    <w:rsid w:val="002B6E5A"/>
    <w:rsid w:val="002C002B"/>
    <w:rsid w:val="002C177C"/>
    <w:rsid w:val="002C1E2E"/>
    <w:rsid w:val="002C4A61"/>
    <w:rsid w:val="002C6E51"/>
    <w:rsid w:val="002D0055"/>
    <w:rsid w:val="002D0CFE"/>
    <w:rsid w:val="002D1E5D"/>
    <w:rsid w:val="002D1F02"/>
    <w:rsid w:val="002D2617"/>
    <w:rsid w:val="002D49EE"/>
    <w:rsid w:val="002D65F2"/>
    <w:rsid w:val="002D724C"/>
    <w:rsid w:val="002D7895"/>
    <w:rsid w:val="002E1614"/>
    <w:rsid w:val="002E2DED"/>
    <w:rsid w:val="002E2E28"/>
    <w:rsid w:val="002E3EA6"/>
    <w:rsid w:val="002E488A"/>
    <w:rsid w:val="002E78C5"/>
    <w:rsid w:val="002F072D"/>
    <w:rsid w:val="002F0B67"/>
    <w:rsid w:val="002F1323"/>
    <w:rsid w:val="002F2287"/>
    <w:rsid w:val="002F2C11"/>
    <w:rsid w:val="002F4139"/>
    <w:rsid w:val="002F71EF"/>
    <w:rsid w:val="003031AB"/>
    <w:rsid w:val="003044E4"/>
    <w:rsid w:val="00304893"/>
    <w:rsid w:val="00305E64"/>
    <w:rsid w:val="003068CD"/>
    <w:rsid w:val="00307BD2"/>
    <w:rsid w:val="003111F3"/>
    <w:rsid w:val="00311223"/>
    <w:rsid w:val="00312E26"/>
    <w:rsid w:val="00312F23"/>
    <w:rsid w:val="00312F7F"/>
    <w:rsid w:val="0031410F"/>
    <w:rsid w:val="00315480"/>
    <w:rsid w:val="00315AA4"/>
    <w:rsid w:val="00315E5E"/>
    <w:rsid w:val="00320082"/>
    <w:rsid w:val="00323796"/>
    <w:rsid w:val="003237D1"/>
    <w:rsid w:val="00323FBA"/>
    <w:rsid w:val="003322E8"/>
    <w:rsid w:val="00333092"/>
    <w:rsid w:val="00333EB0"/>
    <w:rsid w:val="003367D2"/>
    <w:rsid w:val="0033728D"/>
    <w:rsid w:val="003408A9"/>
    <w:rsid w:val="00342070"/>
    <w:rsid w:val="0034437A"/>
    <w:rsid w:val="00345415"/>
    <w:rsid w:val="00345F22"/>
    <w:rsid w:val="003465E1"/>
    <w:rsid w:val="00346C1D"/>
    <w:rsid w:val="003502A8"/>
    <w:rsid w:val="00350576"/>
    <w:rsid w:val="00350768"/>
    <w:rsid w:val="003522FD"/>
    <w:rsid w:val="00353716"/>
    <w:rsid w:val="00353F6D"/>
    <w:rsid w:val="003561CB"/>
    <w:rsid w:val="00356501"/>
    <w:rsid w:val="0036081B"/>
    <w:rsid w:val="0036095A"/>
    <w:rsid w:val="00362192"/>
    <w:rsid w:val="003626F9"/>
    <w:rsid w:val="00363652"/>
    <w:rsid w:val="00363DBD"/>
    <w:rsid w:val="00364C12"/>
    <w:rsid w:val="00365848"/>
    <w:rsid w:val="0036704C"/>
    <w:rsid w:val="003672DC"/>
    <w:rsid w:val="00367A95"/>
    <w:rsid w:val="00370163"/>
    <w:rsid w:val="00370715"/>
    <w:rsid w:val="00371761"/>
    <w:rsid w:val="00371CD1"/>
    <w:rsid w:val="0037206E"/>
    <w:rsid w:val="003720BE"/>
    <w:rsid w:val="00372E56"/>
    <w:rsid w:val="003759C3"/>
    <w:rsid w:val="00377C2F"/>
    <w:rsid w:val="00380463"/>
    <w:rsid w:val="003806A6"/>
    <w:rsid w:val="0038795B"/>
    <w:rsid w:val="00387BD5"/>
    <w:rsid w:val="00390D9A"/>
    <w:rsid w:val="0039295E"/>
    <w:rsid w:val="00392D70"/>
    <w:rsid w:val="00394F88"/>
    <w:rsid w:val="00396465"/>
    <w:rsid w:val="003A031A"/>
    <w:rsid w:val="003A0A7A"/>
    <w:rsid w:val="003A125E"/>
    <w:rsid w:val="003A25B0"/>
    <w:rsid w:val="003A442E"/>
    <w:rsid w:val="003A509B"/>
    <w:rsid w:val="003A6AED"/>
    <w:rsid w:val="003A74C8"/>
    <w:rsid w:val="003B1000"/>
    <w:rsid w:val="003B35B3"/>
    <w:rsid w:val="003B3659"/>
    <w:rsid w:val="003B5FBA"/>
    <w:rsid w:val="003C42E3"/>
    <w:rsid w:val="003C46CB"/>
    <w:rsid w:val="003C69FD"/>
    <w:rsid w:val="003C6B60"/>
    <w:rsid w:val="003D1939"/>
    <w:rsid w:val="003E32C0"/>
    <w:rsid w:val="003F0065"/>
    <w:rsid w:val="003F1A6C"/>
    <w:rsid w:val="003F53A5"/>
    <w:rsid w:val="003F5883"/>
    <w:rsid w:val="003F68F8"/>
    <w:rsid w:val="00400C7E"/>
    <w:rsid w:val="0040122C"/>
    <w:rsid w:val="00401D28"/>
    <w:rsid w:val="004022EB"/>
    <w:rsid w:val="00403A14"/>
    <w:rsid w:val="00403F58"/>
    <w:rsid w:val="004042D8"/>
    <w:rsid w:val="004057DD"/>
    <w:rsid w:val="004102D1"/>
    <w:rsid w:val="00410E80"/>
    <w:rsid w:val="00411D00"/>
    <w:rsid w:val="004156F3"/>
    <w:rsid w:val="004160DE"/>
    <w:rsid w:val="00423EB5"/>
    <w:rsid w:val="00432001"/>
    <w:rsid w:val="00433FF8"/>
    <w:rsid w:val="004354D0"/>
    <w:rsid w:val="00441B7E"/>
    <w:rsid w:val="00442688"/>
    <w:rsid w:val="00450120"/>
    <w:rsid w:val="00451745"/>
    <w:rsid w:val="00451B28"/>
    <w:rsid w:val="0045282C"/>
    <w:rsid w:val="00454991"/>
    <w:rsid w:val="00454A39"/>
    <w:rsid w:val="004558BD"/>
    <w:rsid w:val="0045595E"/>
    <w:rsid w:val="00455FA6"/>
    <w:rsid w:val="00461264"/>
    <w:rsid w:val="00461F01"/>
    <w:rsid w:val="00463F2A"/>
    <w:rsid w:val="00467584"/>
    <w:rsid w:val="00470177"/>
    <w:rsid w:val="00472771"/>
    <w:rsid w:val="00472A24"/>
    <w:rsid w:val="004730D4"/>
    <w:rsid w:val="00475FF7"/>
    <w:rsid w:val="004770A6"/>
    <w:rsid w:val="00477259"/>
    <w:rsid w:val="00477355"/>
    <w:rsid w:val="00480C07"/>
    <w:rsid w:val="00482EA1"/>
    <w:rsid w:val="00482F07"/>
    <w:rsid w:val="00483C4F"/>
    <w:rsid w:val="004849AE"/>
    <w:rsid w:val="0048501C"/>
    <w:rsid w:val="00485970"/>
    <w:rsid w:val="00485BF8"/>
    <w:rsid w:val="0049148B"/>
    <w:rsid w:val="004937E1"/>
    <w:rsid w:val="0049492C"/>
    <w:rsid w:val="004953AD"/>
    <w:rsid w:val="0049696D"/>
    <w:rsid w:val="004A0682"/>
    <w:rsid w:val="004A1194"/>
    <w:rsid w:val="004A1495"/>
    <w:rsid w:val="004A1506"/>
    <w:rsid w:val="004A1792"/>
    <w:rsid w:val="004A2BFE"/>
    <w:rsid w:val="004A323F"/>
    <w:rsid w:val="004A4BD7"/>
    <w:rsid w:val="004A55CA"/>
    <w:rsid w:val="004A59D6"/>
    <w:rsid w:val="004A6ED9"/>
    <w:rsid w:val="004B11F4"/>
    <w:rsid w:val="004B42EE"/>
    <w:rsid w:val="004B4D1A"/>
    <w:rsid w:val="004B73ED"/>
    <w:rsid w:val="004C025F"/>
    <w:rsid w:val="004C2076"/>
    <w:rsid w:val="004C3B5E"/>
    <w:rsid w:val="004C44A9"/>
    <w:rsid w:val="004C4812"/>
    <w:rsid w:val="004D065D"/>
    <w:rsid w:val="004D2B5A"/>
    <w:rsid w:val="004D4AB5"/>
    <w:rsid w:val="004E0B7B"/>
    <w:rsid w:val="004E0BCB"/>
    <w:rsid w:val="004E3352"/>
    <w:rsid w:val="004E3C5C"/>
    <w:rsid w:val="004E475D"/>
    <w:rsid w:val="004E479C"/>
    <w:rsid w:val="004E5218"/>
    <w:rsid w:val="004F2473"/>
    <w:rsid w:val="004F27BF"/>
    <w:rsid w:val="004F30FD"/>
    <w:rsid w:val="004F36C5"/>
    <w:rsid w:val="004F3D4D"/>
    <w:rsid w:val="004F41B7"/>
    <w:rsid w:val="004F5A76"/>
    <w:rsid w:val="00500EE0"/>
    <w:rsid w:val="00502659"/>
    <w:rsid w:val="00502DD4"/>
    <w:rsid w:val="00502F35"/>
    <w:rsid w:val="00504801"/>
    <w:rsid w:val="005057DA"/>
    <w:rsid w:val="00505BFF"/>
    <w:rsid w:val="005070E0"/>
    <w:rsid w:val="00507ABA"/>
    <w:rsid w:val="005113F4"/>
    <w:rsid w:val="00512888"/>
    <w:rsid w:val="00513D86"/>
    <w:rsid w:val="005147F8"/>
    <w:rsid w:val="0051495B"/>
    <w:rsid w:val="00515399"/>
    <w:rsid w:val="0051543C"/>
    <w:rsid w:val="00516FE5"/>
    <w:rsid w:val="00517AF2"/>
    <w:rsid w:val="00517BF1"/>
    <w:rsid w:val="00520431"/>
    <w:rsid w:val="005211DB"/>
    <w:rsid w:val="00522546"/>
    <w:rsid w:val="00522F7D"/>
    <w:rsid w:val="0052519F"/>
    <w:rsid w:val="00526EDC"/>
    <w:rsid w:val="005270FB"/>
    <w:rsid w:val="00527A4B"/>
    <w:rsid w:val="0053120D"/>
    <w:rsid w:val="005356C3"/>
    <w:rsid w:val="005359C9"/>
    <w:rsid w:val="00537877"/>
    <w:rsid w:val="00540FD1"/>
    <w:rsid w:val="00542CAD"/>
    <w:rsid w:val="00544ED1"/>
    <w:rsid w:val="005453C9"/>
    <w:rsid w:val="00550384"/>
    <w:rsid w:val="00551A21"/>
    <w:rsid w:val="00552D2D"/>
    <w:rsid w:val="00552E23"/>
    <w:rsid w:val="00557EF7"/>
    <w:rsid w:val="00560359"/>
    <w:rsid w:val="005603AC"/>
    <w:rsid w:val="0056072C"/>
    <w:rsid w:val="00560B24"/>
    <w:rsid w:val="0056449D"/>
    <w:rsid w:val="00564B29"/>
    <w:rsid w:val="00565C67"/>
    <w:rsid w:val="00570368"/>
    <w:rsid w:val="005706E6"/>
    <w:rsid w:val="00570ED7"/>
    <w:rsid w:val="00570F8D"/>
    <w:rsid w:val="00571672"/>
    <w:rsid w:val="005722C1"/>
    <w:rsid w:val="005747FF"/>
    <w:rsid w:val="00574DFF"/>
    <w:rsid w:val="00575F57"/>
    <w:rsid w:val="0057625E"/>
    <w:rsid w:val="005765A3"/>
    <w:rsid w:val="00576EF1"/>
    <w:rsid w:val="00583F06"/>
    <w:rsid w:val="00585341"/>
    <w:rsid w:val="00587641"/>
    <w:rsid w:val="00591EEF"/>
    <w:rsid w:val="00592E0A"/>
    <w:rsid w:val="005948B5"/>
    <w:rsid w:val="00595AA4"/>
    <w:rsid w:val="00596086"/>
    <w:rsid w:val="00596E0B"/>
    <w:rsid w:val="005A02AC"/>
    <w:rsid w:val="005A160B"/>
    <w:rsid w:val="005A1614"/>
    <w:rsid w:val="005A17FE"/>
    <w:rsid w:val="005A1D7F"/>
    <w:rsid w:val="005A4B12"/>
    <w:rsid w:val="005A7BD7"/>
    <w:rsid w:val="005B29CE"/>
    <w:rsid w:val="005B3839"/>
    <w:rsid w:val="005B3A51"/>
    <w:rsid w:val="005B49B9"/>
    <w:rsid w:val="005B64B6"/>
    <w:rsid w:val="005C1E7B"/>
    <w:rsid w:val="005C36D2"/>
    <w:rsid w:val="005C3B7D"/>
    <w:rsid w:val="005C3EC4"/>
    <w:rsid w:val="005C4033"/>
    <w:rsid w:val="005C62B7"/>
    <w:rsid w:val="005C6D64"/>
    <w:rsid w:val="005C6EEE"/>
    <w:rsid w:val="005C7A09"/>
    <w:rsid w:val="005C7B83"/>
    <w:rsid w:val="005D13EC"/>
    <w:rsid w:val="005D35EF"/>
    <w:rsid w:val="005D71AD"/>
    <w:rsid w:val="005D79C8"/>
    <w:rsid w:val="005D7D45"/>
    <w:rsid w:val="005E05CE"/>
    <w:rsid w:val="005E1619"/>
    <w:rsid w:val="005E4C33"/>
    <w:rsid w:val="005E5868"/>
    <w:rsid w:val="005E7567"/>
    <w:rsid w:val="005E7F63"/>
    <w:rsid w:val="005F05A6"/>
    <w:rsid w:val="005F1917"/>
    <w:rsid w:val="005F1F54"/>
    <w:rsid w:val="005F2181"/>
    <w:rsid w:val="005F4085"/>
    <w:rsid w:val="005F4E3A"/>
    <w:rsid w:val="005F50B2"/>
    <w:rsid w:val="005F5F44"/>
    <w:rsid w:val="00600A87"/>
    <w:rsid w:val="0060422B"/>
    <w:rsid w:val="006109AC"/>
    <w:rsid w:val="00621CAF"/>
    <w:rsid w:val="006221F8"/>
    <w:rsid w:val="00627695"/>
    <w:rsid w:val="006313AC"/>
    <w:rsid w:val="00631EC4"/>
    <w:rsid w:val="00632B48"/>
    <w:rsid w:val="00633805"/>
    <w:rsid w:val="00634381"/>
    <w:rsid w:val="0063455D"/>
    <w:rsid w:val="00635464"/>
    <w:rsid w:val="00635869"/>
    <w:rsid w:val="00635ECE"/>
    <w:rsid w:val="00636E5B"/>
    <w:rsid w:val="0064181A"/>
    <w:rsid w:val="00643181"/>
    <w:rsid w:val="00643292"/>
    <w:rsid w:val="00645517"/>
    <w:rsid w:val="006458B7"/>
    <w:rsid w:val="00646B99"/>
    <w:rsid w:val="00647234"/>
    <w:rsid w:val="006551BD"/>
    <w:rsid w:val="00656A8B"/>
    <w:rsid w:val="00657BFA"/>
    <w:rsid w:val="00663B46"/>
    <w:rsid w:val="00667C3E"/>
    <w:rsid w:val="00667F7E"/>
    <w:rsid w:val="00670549"/>
    <w:rsid w:val="0067736D"/>
    <w:rsid w:val="00677472"/>
    <w:rsid w:val="006803CD"/>
    <w:rsid w:val="00681AE6"/>
    <w:rsid w:val="00682152"/>
    <w:rsid w:val="00682C4E"/>
    <w:rsid w:val="00686427"/>
    <w:rsid w:val="00686CF1"/>
    <w:rsid w:val="00691085"/>
    <w:rsid w:val="00691D46"/>
    <w:rsid w:val="00692987"/>
    <w:rsid w:val="00694543"/>
    <w:rsid w:val="0069486F"/>
    <w:rsid w:val="00695F3D"/>
    <w:rsid w:val="0069719B"/>
    <w:rsid w:val="006975E9"/>
    <w:rsid w:val="006A0E10"/>
    <w:rsid w:val="006A2E61"/>
    <w:rsid w:val="006A56C7"/>
    <w:rsid w:val="006B0BFC"/>
    <w:rsid w:val="006B1B5E"/>
    <w:rsid w:val="006B26C8"/>
    <w:rsid w:val="006B3868"/>
    <w:rsid w:val="006B523F"/>
    <w:rsid w:val="006B6BD9"/>
    <w:rsid w:val="006B6F8D"/>
    <w:rsid w:val="006B754C"/>
    <w:rsid w:val="006C47B6"/>
    <w:rsid w:val="006C4A32"/>
    <w:rsid w:val="006C76A6"/>
    <w:rsid w:val="006D015B"/>
    <w:rsid w:val="006D1139"/>
    <w:rsid w:val="006D1686"/>
    <w:rsid w:val="006D29C1"/>
    <w:rsid w:val="006D2FB7"/>
    <w:rsid w:val="006D41E2"/>
    <w:rsid w:val="006D444E"/>
    <w:rsid w:val="006D45D6"/>
    <w:rsid w:val="006D6589"/>
    <w:rsid w:val="006E3BDF"/>
    <w:rsid w:val="006E3FC7"/>
    <w:rsid w:val="006E5C82"/>
    <w:rsid w:val="006E72F1"/>
    <w:rsid w:val="006F23E6"/>
    <w:rsid w:val="006F373A"/>
    <w:rsid w:val="006F38F3"/>
    <w:rsid w:val="006F4435"/>
    <w:rsid w:val="006F4EC1"/>
    <w:rsid w:val="006F5BC8"/>
    <w:rsid w:val="0070111A"/>
    <w:rsid w:val="007041AD"/>
    <w:rsid w:val="00705AD4"/>
    <w:rsid w:val="0070732D"/>
    <w:rsid w:val="00710165"/>
    <w:rsid w:val="007122CA"/>
    <w:rsid w:val="007134E1"/>
    <w:rsid w:val="007169A8"/>
    <w:rsid w:val="00721F86"/>
    <w:rsid w:val="00722191"/>
    <w:rsid w:val="00722201"/>
    <w:rsid w:val="007230CE"/>
    <w:rsid w:val="0072360C"/>
    <w:rsid w:val="00723C68"/>
    <w:rsid w:val="00723F80"/>
    <w:rsid w:val="007243A7"/>
    <w:rsid w:val="00724E36"/>
    <w:rsid w:val="007271C6"/>
    <w:rsid w:val="0073273B"/>
    <w:rsid w:val="00732F21"/>
    <w:rsid w:val="00735708"/>
    <w:rsid w:val="0073650D"/>
    <w:rsid w:val="00736D72"/>
    <w:rsid w:val="00740E4D"/>
    <w:rsid w:val="007413FC"/>
    <w:rsid w:val="00743C36"/>
    <w:rsid w:val="00745445"/>
    <w:rsid w:val="00746C04"/>
    <w:rsid w:val="00747B45"/>
    <w:rsid w:val="00747C86"/>
    <w:rsid w:val="00747FC2"/>
    <w:rsid w:val="0075194D"/>
    <w:rsid w:val="00752664"/>
    <w:rsid w:val="00753740"/>
    <w:rsid w:val="0075715C"/>
    <w:rsid w:val="00757238"/>
    <w:rsid w:val="0076056D"/>
    <w:rsid w:val="0076431E"/>
    <w:rsid w:val="007648ED"/>
    <w:rsid w:val="007655D1"/>
    <w:rsid w:val="00770EFF"/>
    <w:rsid w:val="00771304"/>
    <w:rsid w:val="007744D4"/>
    <w:rsid w:val="00775122"/>
    <w:rsid w:val="0077611B"/>
    <w:rsid w:val="007771DD"/>
    <w:rsid w:val="00781C2D"/>
    <w:rsid w:val="00782449"/>
    <w:rsid w:val="007842CE"/>
    <w:rsid w:val="00784E99"/>
    <w:rsid w:val="007852D9"/>
    <w:rsid w:val="007862CA"/>
    <w:rsid w:val="0078680A"/>
    <w:rsid w:val="0078738F"/>
    <w:rsid w:val="00791FA2"/>
    <w:rsid w:val="007969F0"/>
    <w:rsid w:val="007A0623"/>
    <w:rsid w:val="007A15D7"/>
    <w:rsid w:val="007A170E"/>
    <w:rsid w:val="007A4FD3"/>
    <w:rsid w:val="007A55E5"/>
    <w:rsid w:val="007A6926"/>
    <w:rsid w:val="007B7066"/>
    <w:rsid w:val="007B72CA"/>
    <w:rsid w:val="007C0AB0"/>
    <w:rsid w:val="007C2E6A"/>
    <w:rsid w:val="007C5E57"/>
    <w:rsid w:val="007C7E8F"/>
    <w:rsid w:val="007D106A"/>
    <w:rsid w:val="007D202C"/>
    <w:rsid w:val="007D2576"/>
    <w:rsid w:val="007D3196"/>
    <w:rsid w:val="007D40BA"/>
    <w:rsid w:val="007D4FB2"/>
    <w:rsid w:val="007D58A0"/>
    <w:rsid w:val="007D63FB"/>
    <w:rsid w:val="007D6BE5"/>
    <w:rsid w:val="007E2B56"/>
    <w:rsid w:val="007E463E"/>
    <w:rsid w:val="007E53BF"/>
    <w:rsid w:val="007E6529"/>
    <w:rsid w:val="007F5D58"/>
    <w:rsid w:val="007F6999"/>
    <w:rsid w:val="007F7980"/>
    <w:rsid w:val="007F7FEA"/>
    <w:rsid w:val="008006BF"/>
    <w:rsid w:val="00802CAB"/>
    <w:rsid w:val="0080495B"/>
    <w:rsid w:val="00804D2C"/>
    <w:rsid w:val="008058E1"/>
    <w:rsid w:val="008070D9"/>
    <w:rsid w:val="00810498"/>
    <w:rsid w:val="00810AA9"/>
    <w:rsid w:val="00811145"/>
    <w:rsid w:val="00811623"/>
    <w:rsid w:val="00814E75"/>
    <w:rsid w:val="00815906"/>
    <w:rsid w:val="00816343"/>
    <w:rsid w:val="008168CD"/>
    <w:rsid w:val="008168F4"/>
    <w:rsid w:val="00816E4F"/>
    <w:rsid w:val="00817C93"/>
    <w:rsid w:val="008202A4"/>
    <w:rsid w:val="00821AEC"/>
    <w:rsid w:val="00823883"/>
    <w:rsid w:val="00824C5E"/>
    <w:rsid w:val="008259B6"/>
    <w:rsid w:val="00826461"/>
    <w:rsid w:val="008277D0"/>
    <w:rsid w:val="008306B9"/>
    <w:rsid w:val="0083207B"/>
    <w:rsid w:val="008361A3"/>
    <w:rsid w:val="00836625"/>
    <w:rsid w:val="00840E61"/>
    <w:rsid w:val="0084320F"/>
    <w:rsid w:val="00844F3C"/>
    <w:rsid w:val="00850B5A"/>
    <w:rsid w:val="00852D28"/>
    <w:rsid w:val="00854FF5"/>
    <w:rsid w:val="00856395"/>
    <w:rsid w:val="00860FEE"/>
    <w:rsid w:val="00866B40"/>
    <w:rsid w:val="0086722C"/>
    <w:rsid w:val="00867C5D"/>
    <w:rsid w:val="008716F6"/>
    <w:rsid w:val="00873892"/>
    <w:rsid w:val="00873D9F"/>
    <w:rsid w:val="00873FBD"/>
    <w:rsid w:val="00874D58"/>
    <w:rsid w:val="008812C3"/>
    <w:rsid w:val="00884795"/>
    <w:rsid w:val="0088572A"/>
    <w:rsid w:val="00885D11"/>
    <w:rsid w:val="00886C00"/>
    <w:rsid w:val="008909F4"/>
    <w:rsid w:val="008918C8"/>
    <w:rsid w:val="00891A0B"/>
    <w:rsid w:val="00893A63"/>
    <w:rsid w:val="00895CD7"/>
    <w:rsid w:val="00895F34"/>
    <w:rsid w:val="008A0A12"/>
    <w:rsid w:val="008A17FD"/>
    <w:rsid w:val="008A1E1F"/>
    <w:rsid w:val="008A1E39"/>
    <w:rsid w:val="008A3E67"/>
    <w:rsid w:val="008A5B46"/>
    <w:rsid w:val="008A5F96"/>
    <w:rsid w:val="008A6E3F"/>
    <w:rsid w:val="008A757C"/>
    <w:rsid w:val="008B3DB3"/>
    <w:rsid w:val="008C1A2D"/>
    <w:rsid w:val="008C2C61"/>
    <w:rsid w:val="008C4399"/>
    <w:rsid w:val="008C4BF4"/>
    <w:rsid w:val="008C5A6B"/>
    <w:rsid w:val="008C6076"/>
    <w:rsid w:val="008C6ADB"/>
    <w:rsid w:val="008C7E74"/>
    <w:rsid w:val="008D0051"/>
    <w:rsid w:val="008D1389"/>
    <w:rsid w:val="008D16E0"/>
    <w:rsid w:val="008D4A11"/>
    <w:rsid w:val="008D56C6"/>
    <w:rsid w:val="008D5E37"/>
    <w:rsid w:val="008D7DE7"/>
    <w:rsid w:val="008E10CB"/>
    <w:rsid w:val="008E10CF"/>
    <w:rsid w:val="008E20CB"/>
    <w:rsid w:val="008F0C01"/>
    <w:rsid w:val="008F13F2"/>
    <w:rsid w:val="008F1770"/>
    <w:rsid w:val="008F1FB7"/>
    <w:rsid w:val="008F614C"/>
    <w:rsid w:val="008F62F1"/>
    <w:rsid w:val="008F7D9B"/>
    <w:rsid w:val="00900F86"/>
    <w:rsid w:val="00901041"/>
    <w:rsid w:val="009021D4"/>
    <w:rsid w:val="00903433"/>
    <w:rsid w:val="009055F6"/>
    <w:rsid w:val="009066E9"/>
    <w:rsid w:val="00907177"/>
    <w:rsid w:val="0091081D"/>
    <w:rsid w:val="00913C4D"/>
    <w:rsid w:val="00914A50"/>
    <w:rsid w:val="009151E3"/>
    <w:rsid w:val="0091589C"/>
    <w:rsid w:val="00915FBA"/>
    <w:rsid w:val="00917C15"/>
    <w:rsid w:val="00920BF6"/>
    <w:rsid w:val="0092339E"/>
    <w:rsid w:val="00926380"/>
    <w:rsid w:val="00927293"/>
    <w:rsid w:val="009272E7"/>
    <w:rsid w:val="00930433"/>
    <w:rsid w:val="00930DF1"/>
    <w:rsid w:val="00932304"/>
    <w:rsid w:val="00932786"/>
    <w:rsid w:val="00935816"/>
    <w:rsid w:val="00937244"/>
    <w:rsid w:val="0094082C"/>
    <w:rsid w:val="00940BCF"/>
    <w:rsid w:val="00940D84"/>
    <w:rsid w:val="00940D94"/>
    <w:rsid w:val="00941215"/>
    <w:rsid w:val="00942BAF"/>
    <w:rsid w:val="00942E57"/>
    <w:rsid w:val="0094630F"/>
    <w:rsid w:val="009465F6"/>
    <w:rsid w:val="009503F3"/>
    <w:rsid w:val="0095205D"/>
    <w:rsid w:val="00954C7C"/>
    <w:rsid w:val="00957947"/>
    <w:rsid w:val="009607CF"/>
    <w:rsid w:val="00961249"/>
    <w:rsid w:val="00961ADD"/>
    <w:rsid w:val="00963AFF"/>
    <w:rsid w:val="00964210"/>
    <w:rsid w:val="0096682A"/>
    <w:rsid w:val="00980DAA"/>
    <w:rsid w:val="0098139E"/>
    <w:rsid w:val="00981E88"/>
    <w:rsid w:val="009831B6"/>
    <w:rsid w:val="00984DD5"/>
    <w:rsid w:val="009862B0"/>
    <w:rsid w:val="0098738B"/>
    <w:rsid w:val="00991CCA"/>
    <w:rsid w:val="00994393"/>
    <w:rsid w:val="0099454C"/>
    <w:rsid w:val="00994EE3"/>
    <w:rsid w:val="0099524C"/>
    <w:rsid w:val="00996084"/>
    <w:rsid w:val="009A06ED"/>
    <w:rsid w:val="009A313B"/>
    <w:rsid w:val="009A32B0"/>
    <w:rsid w:val="009A3866"/>
    <w:rsid w:val="009A7497"/>
    <w:rsid w:val="009B5652"/>
    <w:rsid w:val="009B602E"/>
    <w:rsid w:val="009B6FB3"/>
    <w:rsid w:val="009B7D1E"/>
    <w:rsid w:val="009C1CFC"/>
    <w:rsid w:val="009C2DA4"/>
    <w:rsid w:val="009C6D2E"/>
    <w:rsid w:val="009D003A"/>
    <w:rsid w:val="009D0D96"/>
    <w:rsid w:val="009D1A34"/>
    <w:rsid w:val="009D46E0"/>
    <w:rsid w:val="009D7224"/>
    <w:rsid w:val="009E153F"/>
    <w:rsid w:val="009E4F57"/>
    <w:rsid w:val="009E5789"/>
    <w:rsid w:val="009E65BF"/>
    <w:rsid w:val="009E7747"/>
    <w:rsid w:val="009F091D"/>
    <w:rsid w:val="009F4A5E"/>
    <w:rsid w:val="009F502A"/>
    <w:rsid w:val="009F5137"/>
    <w:rsid w:val="009F7D4B"/>
    <w:rsid w:val="00A00F99"/>
    <w:rsid w:val="00A011BB"/>
    <w:rsid w:val="00A017C9"/>
    <w:rsid w:val="00A03AFF"/>
    <w:rsid w:val="00A0528E"/>
    <w:rsid w:val="00A10DB5"/>
    <w:rsid w:val="00A11456"/>
    <w:rsid w:val="00A12A34"/>
    <w:rsid w:val="00A12DFE"/>
    <w:rsid w:val="00A13B54"/>
    <w:rsid w:val="00A1475C"/>
    <w:rsid w:val="00A14D0F"/>
    <w:rsid w:val="00A16C5F"/>
    <w:rsid w:val="00A21B3A"/>
    <w:rsid w:val="00A21CDE"/>
    <w:rsid w:val="00A24831"/>
    <w:rsid w:val="00A253B6"/>
    <w:rsid w:val="00A274D8"/>
    <w:rsid w:val="00A2780E"/>
    <w:rsid w:val="00A33291"/>
    <w:rsid w:val="00A33F6A"/>
    <w:rsid w:val="00A35075"/>
    <w:rsid w:val="00A36183"/>
    <w:rsid w:val="00A41146"/>
    <w:rsid w:val="00A44EFA"/>
    <w:rsid w:val="00A450F8"/>
    <w:rsid w:val="00A46667"/>
    <w:rsid w:val="00A50B8C"/>
    <w:rsid w:val="00A524D9"/>
    <w:rsid w:val="00A54643"/>
    <w:rsid w:val="00A54747"/>
    <w:rsid w:val="00A576CD"/>
    <w:rsid w:val="00A62C1A"/>
    <w:rsid w:val="00A6411A"/>
    <w:rsid w:val="00A66D45"/>
    <w:rsid w:val="00A67C37"/>
    <w:rsid w:val="00A72F82"/>
    <w:rsid w:val="00A735DA"/>
    <w:rsid w:val="00A736E8"/>
    <w:rsid w:val="00A7456F"/>
    <w:rsid w:val="00A7460E"/>
    <w:rsid w:val="00A7514C"/>
    <w:rsid w:val="00A81873"/>
    <w:rsid w:val="00A81E19"/>
    <w:rsid w:val="00A82B19"/>
    <w:rsid w:val="00A84039"/>
    <w:rsid w:val="00A864F6"/>
    <w:rsid w:val="00A9101B"/>
    <w:rsid w:val="00A9226E"/>
    <w:rsid w:val="00A927A9"/>
    <w:rsid w:val="00A93EC5"/>
    <w:rsid w:val="00A94375"/>
    <w:rsid w:val="00A946B2"/>
    <w:rsid w:val="00A9543E"/>
    <w:rsid w:val="00A954B7"/>
    <w:rsid w:val="00A95A48"/>
    <w:rsid w:val="00A96504"/>
    <w:rsid w:val="00A97294"/>
    <w:rsid w:val="00AA369C"/>
    <w:rsid w:val="00AA3804"/>
    <w:rsid w:val="00AA4160"/>
    <w:rsid w:val="00AA4990"/>
    <w:rsid w:val="00AA548D"/>
    <w:rsid w:val="00AA6CF1"/>
    <w:rsid w:val="00AA6E68"/>
    <w:rsid w:val="00AB060B"/>
    <w:rsid w:val="00AB2996"/>
    <w:rsid w:val="00AB4C40"/>
    <w:rsid w:val="00AB4FA3"/>
    <w:rsid w:val="00AB577F"/>
    <w:rsid w:val="00AC3C84"/>
    <w:rsid w:val="00AD053D"/>
    <w:rsid w:val="00AD2919"/>
    <w:rsid w:val="00AD2955"/>
    <w:rsid w:val="00AD330F"/>
    <w:rsid w:val="00AD376B"/>
    <w:rsid w:val="00AD38D5"/>
    <w:rsid w:val="00AD4C7E"/>
    <w:rsid w:val="00AD6632"/>
    <w:rsid w:val="00AD6B01"/>
    <w:rsid w:val="00AD6C69"/>
    <w:rsid w:val="00AD7F4F"/>
    <w:rsid w:val="00AE0612"/>
    <w:rsid w:val="00AE120D"/>
    <w:rsid w:val="00AE27FC"/>
    <w:rsid w:val="00AE3044"/>
    <w:rsid w:val="00AE3B5A"/>
    <w:rsid w:val="00AE71DD"/>
    <w:rsid w:val="00AE779A"/>
    <w:rsid w:val="00AF256C"/>
    <w:rsid w:val="00AF3979"/>
    <w:rsid w:val="00AF4367"/>
    <w:rsid w:val="00AF6C81"/>
    <w:rsid w:val="00B006BD"/>
    <w:rsid w:val="00B00811"/>
    <w:rsid w:val="00B016C2"/>
    <w:rsid w:val="00B02EFA"/>
    <w:rsid w:val="00B05883"/>
    <w:rsid w:val="00B17C16"/>
    <w:rsid w:val="00B2545F"/>
    <w:rsid w:val="00B275A4"/>
    <w:rsid w:val="00B31085"/>
    <w:rsid w:val="00B31F3A"/>
    <w:rsid w:val="00B32019"/>
    <w:rsid w:val="00B328CC"/>
    <w:rsid w:val="00B32AB8"/>
    <w:rsid w:val="00B32CBE"/>
    <w:rsid w:val="00B34537"/>
    <w:rsid w:val="00B34E43"/>
    <w:rsid w:val="00B35595"/>
    <w:rsid w:val="00B36909"/>
    <w:rsid w:val="00B36A18"/>
    <w:rsid w:val="00B401EF"/>
    <w:rsid w:val="00B402AC"/>
    <w:rsid w:val="00B4155E"/>
    <w:rsid w:val="00B43902"/>
    <w:rsid w:val="00B44B2C"/>
    <w:rsid w:val="00B45F31"/>
    <w:rsid w:val="00B47EBB"/>
    <w:rsid w:val="00B532DD"/>
    <w:rsid w:val="00B53ED0"/>
    <w:rsid w:val="00B55EB2"/>
    <w:rsid w:val="00B5632A"/>
    <w:rsid w:val="00B57A96"/>
    <w:rsid w:val="00B61331"/>
    <w:rsid w:val="00B63370"/>
    <w:rsid w:val="00B648E7"/>
    <w:rsid w:val="00B65691"/>
    <w:rsid w:val="00B662C4"/>
    <w:rsid w:val="00B66669"/>
    <w:rsid w:val="00B66F7D"/>
    <w:rsid w:val="00B67140"/>
    <w:rsid w:val="00B673F0"/>
    <w:rsid w:val="00B674D6"/>
    <w:rsid w:val="00B677D5"/>
    <w:rsid w:val="00B715E3"/>
    <w:rsid w:val="00B7197B"/>
    <w:rsid w:val="00B7407F"/>
    <w:rsid w:val="00B7557F"/>
    <w:rsid w:val="00B8276E"/>
    <w:rsid w:val="00B83E2D"/>
    <w:rsid w:val="00B851C7"/>
    <w:rsid w:val="00B853ED"/>
    <w:rsid w:val="00B86654"/>
    <w:rsid w:val="00B86905"/>
    <w:rsid w:val="00B87137"/>
    <w:rsid w:val="00B90064"/>
    <w:rsid w:val="00B92155"/>
    <w:rsid w:val="00B93998"/>
    <w:rsid w:val="00B95FF3"/>
    <w:rsid w:val="00BA5445"/>
    <w:rsid w:val="00BA743F"/>
    <w:rsid w:val="00BB02CB"/>
    <w:rsid w:val="00BB3F6E"/>
    <w:rsid w:val="00BB5E7E"/>
    <w:rsid w:val="00BC074E"/>
    <w:rsid w:val="00BC321D"/>
    <w:rsid w:val="00BC41B6"/>
    <w:rsid w:val="00BC4C90"/>
    <w:rsid w:val="00BD14AF"/>
    <w:rsid w:val="00BD5865"/>
    <w:rsid w:val="00BD5B1A"/>
    <w:rsid w:val="00BD5F33"/>
    <w:rsid w:val="00BE2C0D"/>
    <w:rsid w:val="00BE5263"/>
    <w:rsid w:val="00BE595F"/>
    <w:rsid w:val="00BF165A"/>
    <w:rsid w:val="00BF1F40"/>
    <w:rsid w:val="00BF670E"/>
    <w:rsid w:val="00BF6734"/>
    <w:rsid w:val="00C01C6A"/>
    <w:rsid w:val="00C033A0"/>
    <w:rsid w:val="00C053B0"/>
    <w:rsid w:val="00C0586B"/>
    <w:rsid w:val="00C06E9B"/>
    <w:rsid w:val="00C116EB"/>
    <w:rsid w:val="00C11901"/>
    <w:rsid w:val="00C13032"/>
    <w:rsid w:val="00C15DF1"/>
    <w:rsid w:val="00C16904"/>
    <w:rsid w:val="00C17450"/>
    <w:rsid w:val="00C22B49"/>
    <w:rsid w:val="00C23F14"/>
    <w:rsid w:val="00C241AD"/>
    <w:rsid w:val="00C24C22"/>
    <w:rsid w:val="00C24C75"/>
    <w:rsid w:val="00C263D2"/>
    <w:rsid w:val="00C26E23"/>
    <w:rsid w:val="00C30CA3"/>
    <w:rsid w:val="00C3100F"/>
    <w:rsid w:val="00C321D5"/>
    <w:rsid w:val="00C346E3"/>
    <w:rsid w:val="00C36870"/>
    <w:rsid w:val="00C37F3D"/>
    <w:rsid w:val="00C40021"/>
    <w:rsid w:val="00C42EF5"/>
    <w:rsid w:val="00C44203"/>
    <w:rsid w:val="00C4433A"/>
    <w:rsid w:val="00C44D43"/>
    <w:rsid w:val="00C44F44"/>
    <w:rsid w:val="00C454BC"/>
    <w:rsid w:val="00C461DE"/>
    <w:rsid w:val="00C508B3"/>
    <w:rsid w:val="00C533FF"/>
    <w:rsid w:val="00C53437"/>
    <w:rsid w:val="00C54807"/>
    <w:rsid w:val="00C575F5"/>
    <w:rsid w:val="00C57BAC"/>
    <w:rsid w:val="00C60D2C"/>
    <w:rsid w:val="00C61088"/>
    <w:rsid w:val="00C6188E"/>
    <w:rsid w:val="00C64386"/>
    <w:rsid w:val="00C6628F"/>
    <w:rsid w:val="00C7212D"/>
    <w:rsid w:val="00C74580"/>
    <w:rsid w:val="00C74D24"/>
    <w:rsid w:val="00C75029"/>
    <w:rsid w:val="00C75F21"/>
    <w:rsid w:val="00C769F8"/>
    <w:rsid w:val="00C81B28"/>
    <w:rsid w:val="00C83F85"/>
    <w:rsid w:val="00C85696"/>
    <w:rsid w:val="00C86E1F"/>
    <w:rsid w:val="00C90A86"/>
    <w:rsid w:val="00C92D15"/>
    <w:rsid w:val="00C9625F"/>
    <w:rsid w:val="00C97221"/>
    <w:rsid w:val="00C973F7"/>
    <w:rsid w:val="00C97893"/>
    <w:rsid w:val="00CA0256"/>
    <w:rsid w:val="00CA031E"/>
    <w:rsid w:val="00CA0A1D"/>
    <w:rsid w:val="00CA58D1"/>
    <w:rsid w:val="00CA70A1"/>
    <w:rsid w:val="00CB48D5"/>
    <w:rsid w:val="00CB54AB"/>
    <w:rsid w:val="00CC04DC"/>
    <w:rsid w:val="00CC21DF"/>
    <w:rsid w:val="00CC7690"/>
    <w:rsid w:val="00CD27DA"/>
    <w:rsid w:val="00CD3A46"/>
    <w:rsid w:val="00CD6497"/>
    <w:rsid w:val="00CE14F5"/>
    <w:rsid w:val="00CE1BC9"/>
    <w:rsid w:val="00CE2D31"/>
    <w:rsid w:val="00CE51DB"/>
    <w:rsid w:val="00CE5EF4"/>
    <w:rsid w:val="00CE6BF7"/>
    <w:rsid w:val="00CE702B"/>
    <w:rsid w:val="00CE7B1F"/>
    <w:rsid w:val="00CF1AA2"/>
    <w:rsid w:val="00CF24CA"/>
    <w:rsid w:val="00CF2AC2"/>
    <w:rsid w:val="00CF4451"/>
    <w:rsid w:val="00CF46D2"/>
    <w:rsid w:val="00CF47C5"/>
    <w:rsid w:val="00CF4DD0"/>
    <w:rsid w:val="00CF55B9"/>
    <w:rsid w:val="00CF5734"/>
    <w:rsid w:val="00CF5985"/>
    <w:rsid w:val="00D003AA"/>
    <w:rsid w:val="00D01417"/>
    <w:rsid w:val="00D0375A"/>
    <w:rsid w:val="00D05C48"/>
    <w:rsid w:val="00D117B3"/>
    <w:rsid w:val="00D215FA"/>
    <w:rsid w:val="00D23382"/>
    <w:rsid w:val="00D27A5E"/>
    <w:rsid w:val="00D31FC7"/>
    <w:rsid w:val="00D324BD"/>
    <w:rsid w:val="00D32E25"/>
    <w:rsid w:val="00D33570"/>
    <w:rsid w:val="00D336A1"/>
    <w:rsid w:val="00D34AF7"/>
    <w:rsid w:val="00D40665"/>
    <w:rsid w:val="00D41108"/>
    <w:rsid w:val="00D41461"/>
    <w:rsid w:val="00D43913"/>
    <w:rsid w:val="00D44CA4"/>
    <w:rsid w:val="00D50E66"/>
    <w:rsid w:val="00D53E71"/>
    <w:rsid w:val="00D56014"/>
    <w:rsid w:val="00D60C8E"/>
    <w:rsid w:val="00D62F12"/>
    <w:rsid w:val="00D64781"/>
    <w:rsid w:val="00D64944"/>
    <w:rsid w:val="00D64E5B"/>
    <w:rsid w:val="00D66B8E"/>
    <w:rsid w:val="00D6798B"/>
    <w:rsid w:val="00D7041A"/>
    <w:rsid w:val="00D72354"/>
    <w:rsid w:val="00D7451B"/>
    <w:rsid w:val="00D74DEE"/>
    <w:rsid w:val="00D75006"/>
    <w:rsid w:val="00D77390"/>
    <w:rsid w:val="00D77E91"/>
    <w:rsid w:val="00D80782"/>
    <w:rsid w:val="00D810FD"/>
    <w:rsid w:val="00D82B66"/>
    <w:rsid w:val="00D835C5"/>
    <w:rsid w:val="00D84F98"/>
    <w:rsid w:val="00D87C4A"/>
    <w:rsid w:val="00D87CE0"/>
    <w:rsid w:val="00D907C9"/>
    <w:rsid w:val="00D91527"/>
    <w:rsid w:val="00D91825"/>
    <w:rsid w:val="00D97C27"/>
    <w:rsid w:val="00DA0F88"/>
    <w:rsid w:val="00DA26B5"/>
    <w:rsid w:val="00DA4909"/>
    <w:rsid w:val="00DA4F01"/>
    <w:rsid w:val="00DA5275"/>
    <w:rsid w:val="00DA6285"/>
    <w:rsid w:val="00DA67EE"/>
    <w:rsid w:val="00DA6C2D"/>
    <w:rsid w:val="00DB1471"/>
    <w:rsid w:val="00DB20F3"/>
    <w:rsid w:val="00DB280A"/>
    <w:rsid w:val="00DB4F4A"/>
    <w:rsid w:val="00DB5C0A"/>
    <w:rsid w:val="00DB67F9"/>
    <w:rsid w:val="00DC2213"/>
    <w:rsid w:val="00DC2391"/>
    <w:rsid w:val="00DC247C"/>
    <w:rsid w:val="00DC46CB"/>
    <w:rsid w:val="00DC4DF9"/>
    <w:rsid w:val="00DD1085"/>
    <w:rsid w:val="00DD25C7"/>
    <w:rsid w:val="00DD33F1"/>
    <w:rsid w:val="00DD4396"/>
    <w:rsid w:val="00DD5630"/>
    <w:rsid w:val="00DE2E3C"/>
    <w:rsid w:val="00DF5236"/>
    <w:rsid w:val="00DF537E"/>
    <w:rsid w:val="00DF5D33"/>
    <w:rsid w:val="00E0030D"/>
    <w:rsid w:val="00E007EA"/>
    <w:rsid w:val="00E01356"/>
    <w:rsid w:val="00E0295C"/>
    <w:rsid w:val="00E0411C"/>
    <w:rsid w:val="00E0562B"/>
    <w:rsid w:val="00E06581"/>
    <w:rsid w:val="00E10B00"/>
    <w:rsid w:val="00E10C9F"/>
    <w:rsid w:val="00E11701"/>
    <w:rsid w:val="00E1279B"/>
    <w:rsid w:val="00E12E0A"/>
    <w:rsid w:val="00E1374B"/>
    <w:rsid w:val="00E161DE"/>
    <w:rsid w:val="00E172C2"/>
    <w:rsid w:val="00E17859"/>
    <w:rsid w:val="00E20C79"/>
    <w:rsid w:val="00E20FDB"/>
    <w:rsid w:val="00E216C6"/>
    <w:rsid w:val="00E22F5E"/>
    <w:rsid w:val="00E2345E"/>
    <w:rsid w:val="00E23822"/>
    <w:rsid w:val="00E23C3E"/>
    <w:rsid w:val="00E23E87"/>
    <w:rsid w:val="00E244AA"/>
    <w:rsid w:val="00E256E8"/>
    <w:rsid w:val="00E25CE4"/>
    <w:rsid w:val="00E34A4D"/>
    <w:rsid w:val="00E4038D"/>
    <w:rsid w:val="00E40717"/>
    <w:rsid w:val="00E41549"/>
    <w:rsid w:val="00E4265A"/>
    <w:rsid w:val="00E45C73"/>
    <w:rsid w:val="00E51CAA"/>
    <w:rsid w:val="00E54AAE"/>
    <w:rsid w:val="00E61590"/>
    <w:rsid w:val="00E67C77"/>
    <w:rsid w:val="00E70F7D"/>
    <w:rsid w:val="00E7348C"/>
    <w:rsid w:val="00E739D1"/>
    <w:rsid w:val="00E74589"/>
    <w:rsid w:val="00E74B55"/>
    <w:rsid w:val="00E75022"/>
    <w:rsid w:val="00E7639B"/>
    <w:rsid w:val="00E77220"/>
    <w:rsid w:val="00E80571"/>
    <w:rsid w:val="00E811D3"/>
    <w:rsid w:val="00E83685"/>
    <w:rsid w:val="00E84650"/>
    <w:rsid w:val="00E853F1"/>
    <w:rsid w:val="00E86085"/>
    <w:rsid w:val="00E8753C"/>
    <w:rsid w:val="00E90F95"/>
    <w:rsid w:val="00E91466"/>
    <w:rsid w:val="00E91495"/>
    <w:rsid w:val="00E92761"/>
    <w:rsid w:val="00E9279A"/>
    <w:rsid w:val="00E9438F"/>
    <w:rsid w:val="00E95D4A"/>
    <w:rsid w:val="00E96FB5"/>
    <w:rsid w:val="00E974F4"/>
    <w:rsid w:val="00EA0F05"/>
    <w:rsid w:val="00EA25D2"/>
    <w:rsid w:val="00EA3440"/>
    <w:rsid w:val="00EB0732"/>
    <w:rsid w:val="00EB0EA0"/>
    <w:rsid w:val="00EB382C"/>
    <w:rsid w:val="00EB4303"/>
    <w:rsid w:val="00EB54ED"/>
    <w:rsid w:val="00EB5DC6"/>
    <w:rsid w:val="00EB6D63"/>
    <w:rsid w:val="00EB6E95"/>
    <w:rsid w:val="00EC073B"/>
    <w:rsid w:val="00EC15E5"/>
    <w:rsid w:val="00EC190D"/>
    <w:rsid w:val="00EC741C"/>
    <w:rsid w:val="00EC74FE"/>
    <w:rsid w:val="00EC7744"/>
    <w:rsid w:val="00EC78F1"/>
    <w:rsid w:val="00ED00F0"/>
    <w:rsid w:val="00ED0A32"/>
    <w:rsid w:val="00ED0C61"/>
    <w:rsid w:val="00ED2808"/>
    <w:rsid w:val="00ED296F"/>
    <w:rsid w:val="00ED3A28"/>
    <w:rsid w:val="00ED4617"/>
    <w:rsid w:val="00ED676D"/>
    <w:rsid w:val="00EE0A6C"/>
    <w:rsid w:val="00EE10D8"/>
    <w:rsid w:val="00EE1570"/>
    <w:rsid w:val="00EF0B6F"/>
    <w:rsid w:val="00EF1967"/>
    <w:rsid w:val="00F00CDB"/>
    <w:rsid w:val="00F02008"/>
    <w:rsid w:val="00F056D6"/>
    <w:rsid w:val="00F059EA"/>
    <w:rsid w:val="00F07A36"/>
    <w:rsid w:val="00F07C4C"/>
    <w:rsid w:val="00F11638"/>
    <w:rsid w:val="00F13969"/>
    <w:rsid w:val="00F16A20"/>
    <w:rsid w:val="00F20EED"/>
    <w:rsid w:val="00F21DFC"/>
    <w:rsid w:val="00F222EA"/>
    <w:rsid w:val="00F22B35"/>
    <w:rsid w:val="00F3097F"/>
    <w:rsid w:val="00F30DA6"/>
    <w:rsid w:val="00F31455"/>
    <w:rsid w:val="00F320F9"/>
    <w:rsid w:val="00F33CAB"/>
    <w:rsid w:val="00F3576C"/>
    <w:rsid w:val="00F359CF"/>
    <w:rsid w:val="00F36562"/>
    <w:rsid w:val="00F41C53"/>
    <w:rsid w:val="00F42159"/>
    <w:rsid w:val="00F44C7A"/>
    <w:rsid w:val="00F45496"/>
    <w:rsid w:val="00F45D4C"/>
    <w:rsid w:val="00F45E53"/>
    <w:rsid w:val="00F4788D"/>
    <w:rsid w:val="00F47D79"/>
    <w:rsid w:val="00F47DDA"/>
    <w:rsid w:val="00F51CBD"/>
    <w:rsid w:val="00F51D8D"/>
    <w:rsid w:val="00F52106"/>
    <w:rsid w:val="00F52D25"/>
    <w:rsid w:val="00F54470"/>
    <w:rsid w:val="00F551F7"/>
    <w:rsid w:val="00F55F23"/>
    <w:rsid w:val="00F56129"/>
    <w:rsid w:val="00F56AD3"/>
    <w:rsid w:val="00F61855"/>
    <w:rsid w:val="00F62882"/>
    <w:rsid w:val="00F634EA"/>
    <w:rsid w:val="00F639A9"/>
    <w:rsid w:val="00F647FA"/>
    <w:rsid w:val="00F656A3"/>
    <w:rsid w:val="00F67944"/>
    <w:rsid w:val="00F708C0"/>
    <w:rsid w:val="00F70BB4"/>
    <w:rsid w:val="00F7196A"/>
    <w:rsid w:val="00F72326"/>
    <w:rsid w:val="00F73311"/>
    <w:rsid w:val="00F739EF"/>
    <w:rsid w:val="00F827B6"/>
    <w:rsid w:val="00F85978"/>
    <w:rsid w:val="00F874C8"/>
    <w:rsid w:val="00F910E2"/>
    <w:rsid w:val="00F92A9F"/>
    <w:rsid w:val="00F97122"/>
    <w:rsid w:val="00F978D9"/>
    <w:rsid w:val="00F97923"/>
    <w:rsid w:val="00FA08E4"/>
    <w:rsid w:val="00FA27B4"/>
    <w:rsid w:val="00FA2CAA"/>
    <w:rsid w:val="00FA3B30"/>
    <w:rsid w:val="00FA42FC"/>
    <w:rsid w:val="00FA6265"/>
    <w:rsid w:val="00FA7C89"/>
    <w:rsid w:val="00FA7F41"/>
    <w:rsid w:val="00FB09A3"/>
    <w:rsid w:val="00FB2F79"/>
    <w:rsid w:val="00FB3F61"/>
    <w:rsid w:val="00FB613E"/>
    <w:rsid w:val="00FC1A89"/>
    <w:rsid w:val="00FC2854"/>
    <w:rsid w:val="00FC692B"/>
    <w:rsid w:val="00FD06CD"/>
    <w:rsid w:val="00FD5FD2"/>
    <w:rsid w:val="00FD71C4"/>
    <w:rsid w:val="00FD772E"/>
    <w:rsid w:val="00FD7B64"/>
    <w:rsid w:val="00FE11DD"/>
    <w:rsid w:val="00FE21FC"/>
    <w:rsid w:val="00FE2AD3"/>
    <w:rsid w:val="00FF2AE1"/>
    <w:rsid w:val="00FF75E8"/>
    <w:rsid w:val="00FF7AFC"/>
    <w:rsid w:val="05F5F719"/>
    <w:rsid w:val="0791C77A"/>
    <w:rsid w:val="089EC664"/>
    <w:rsid w:val="0AC3411E"/>
    <w:rsid w:val="14469AEB"/>
    <w:rsid w:val="1CE3CE83"/>
    <w:rsid w:val="2611EC0C"/>
    <w:rsid w:val="285C51E2"/>
    <w:rsid w:val="2D593DFB"/>
    <w:rsid w:val="311D9C85"/>
    <w:rsid w:val="324C2BCF"/>
    <w:rsid w:val="35B4D4D1"/>
    <w:rsid w:val="489A8E04"/>
    <w:rsid w:val="5299CD1F"/>
    <w:rsid w:val="544509A3"/>
    <w:rsid w:val="5B404522"/>
    <w:rsid w:val="5E1122E0"/>
    <w:rsid w:val="5E45D6B5"/>
    <w:rsid w:val="671801FB"/>
    <w:rsid w:val="67D3909E"/>
    <w:rsid w:val="77C7BC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31073"/>
    <o:shapelayout v:ext="edit">
      <o:idmap v:ext="edit" data="1"/>
    </o:shapelayout>
  </w:shapeDefaults>
  <w:decimalSymbol w:val=","/>
  <w:listSeparator w:val=";"/>
  <w14:docId w14:val="4549A199"/>
  <w15:docId w15:val="{91A3D428-F9F3-4974-99A9-83ADE9845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1"/>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0F6FC6"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0B5294"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basedOn w:val="Standardnpsmoodstavce"/>
    <w:uiPriority w:val="99"/>
    <w:unhideWhenUsed/>
    <w:rsid w:val="005E4C33"/>
    <w:rPr>
      <w:sz w:val="16"/>
      <w:szCs w:val="16"/>
    </w:rPr>
  </w:style>
  <w:style w:type="paragraph" w:styleId="Textkomente">
    <w:name w:val="annotation text"/>
    <w:basedOn w:val="Normln"/>
    <w:link w:val="TextkomenteChar"/>
    <w:uiPriority w:val="99"/>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qFormat/>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rsid w:val="005453C9"/>
    <w:rPr>
      <w:rFonts w:asciiTheme="majorHAnsi" w:eastAsiaTheme="majorEastAsia" w:hAnsiTheme="majorHAnsi" w:cstheme="majorBidi"/>
      <w:b/>
      <w:bCs/>
      <w:color w:val="0F6FC6"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qFormat/>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Barevntabulkasmkou6zvraznn1">
    <w:name w:val="Grid Table 6 Colorful Accent 1"/>
    <w:basedOn w:val="Normlntabulka"/>
    <w:uiPriority w:val="51"/>
    <w:rsid w:val="00574DFF"/>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B677D5"/>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B677D5"/>
    <w:pPr>
      <w:pageBreakBefore/>
      <w:pBdr>
        <w:bottom w:val="single" w:sz="4" w:space="2" w:color="009DD9" w:themeColor="accent2"/>
      </w:pBdr>
      <w:spacing w:before="360" w:after="240" w:line="240" w:lineRule="auto"/>
    </w:pPr>
    <w:rPr>
      <w:rFonts w:ascii="Arial" w:eastAsia="MS Mincho" w:hAnsi="Arial"/>
      <w:b w:val="0"/>
      <w:bCs w:val="0"/>
      <w:sz w:val="36"/>
      <w:lang w:eastAsia="ja-JP"/>
    </w:rPr>
  </w:style>
  <w:style w:type="table" w:customStyle="1" w:styleId="Mkatabulky11">
    <w:name w:val="Mřížka tabulky11"/>
    <w:basedOn w:val="Normlntabulka"/>
    <w:next w:val="Mkatabulky"/>
    <w:uiPriority w:val="59"/>
    <w:rsid w:val="003A0A7A"/>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51543C"/>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51543C"/>
    <w:pPr>
      <w:spacing w:after="100"/>
    </w:pPr>
  </w:style>
  <w:style w:type="paragraph" w:styleId="Textvysvtlivek">
    <w:name w:val="endnote text"/>
    <w:basedOn w:val="Normln"/>
    <w:link w:val="TextvysvtlivekChar"/>
    <w:uiPriority w:val="99"/>
    <w:semiHidden/>
    <w:unhideWhenUsed/>
    <w:rsid w:val="00370163"/>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370163"/>
    <w:rPr>
      <w:sz w:val="20"/>
      <w:szCs w:val="20"/>
    </w:rPr>
  </w:style>
  <w:style w:type="character" w:styleId="Odkaznavysvtlivky">
    <w:name w:val="endnote reference"/>
    <w:basedOn w:val="Standardnpsmoodstavce"/>
    <w:uiPriority w:val="99"/>
    <w:semiHidden/>
    <w:unhideWhenUsed/>
    <w:rsid w:val="0037016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26633">
      <w:bodyDiv w:val="1"/>
      <w:marLeft w:val="0"/>
      <w:marRight w:val="0"/>
      <w:marTop w:val="0"/>
      <w:marBottom w:val="0"/>
      <w:divBdr>
        <w:top w:val="none" w:sz="0" w:space="0" w:color="auto"/>
        <w:left w:val="none" w:sz="0" w:space="0" w:color="auto"/>
        <w:bottom w:val="none" w:sz="0" w:space="0" w:color="auto"/>
        <w:right w:val="none" w:sz="0" w:space="0" w:color="auto"/>
      </w:divBdr>
    </w:div>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344937704">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09137200">
      <w:bodyDiv w:val="1"/>
      <w:marLeft w:val="0"/>
      <w:marRight w:val="0"/>
      <w:marTop w:val="0"/>
      <w:marBottom w:val="0"/>
      <w:divBdr>
        <w:top w:val="none" w:sz="0" w:space="0" w:color="auto"/>
        <w:left w:val="none" w:sz="0" w:space="0" w:color="auto"/>
        <w:bottom w:val="none" w:sz="0" w:space="0" w:color="auto"/>
        <w:right w:val="none" w:sz="0" w:space="0" w:color="auto"/>
      </w:divBdr>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E94CB9-D65B-41D5-B74A-DB4428F9911D}">
  <ds:schemaRefs>
    <ds:schemaRef ds:uri="http://schemas.microsoft.com/office/2006/documentManagement/types"/>
    <ds:schemaRef ds:uri="http://www.w3.org/XML/1998/namespace"/>
    <ds:schemaRef ds:uri="http://purl.org/dc/dcmitype/"/>
    <ds:schemaRef ds:uri="http://purl.org/dc/terms/"/>
    <ds:schemaRef ds:uri="30e291ad-f7e7-49f6-86f9-67da3b83edbb"/>
    <ds:schemaRef ds:uri="55b9b8e6-ce93-484b-85c3-60be995bde3d"/>
    <ds:schemaRef ds:uri="http://purl.org/dc/elements/1.1/"/>
    <ds:schemaRef ds:uri="http://schemas.microsoft.com/office/infopath/2007/PartnerControls"/>
    <ds:schemaRef ds:uri="http://schemas.openxmlformats.org/package/2006/metadata/core-properties"/>
    <ds:schemaRef ds:uri="http://schemas.microsoft.com/office/2006/metadata/properties"/>
    <ds:schemaRef ds:uri="96f83003-48fd-4f52-836f-d78a4dd9c06d"/>
  </ds:schemaRefs>
</ds:datastoreItem>
</file>

<file path=customXml/itemProps2.xml><?xml version="1.0" encoding="utf-8"?>
<ds:datastoreItem xmlns:ds="http://schemas.openxmlformats.org/officeDocument/2006/customXml" ds:itemID="{3A630A83-FDC6-413E-88CC-B4F4738D4351}">
  <ds:schemaRefs>
    <ds:schemaRef ds:uri="http://schemas.microsoft.com/sharepoint/v3/contenttype/forms"/>
  </ds:schemaRefs>
</ds:datastoreItem>
</file>

<file path=customXml/itemProps3.xml><?xml version="1.0" encoding="utf-8"?>
<ds:datastoreItem xmlns:ds="http://schemas.openxmlformats.org/officeDocument/2006/customXml" ds:itemID="{6649D24F-A727-49AE-833C-5F8C4C345A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7952F0E-B6EA-4AC5-9A66-145CBD3D5E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4</Pages>
  <Words>797</Words>
  <Characters>4706</Characters>
  <Application>Microsoft Office Word</Application>
  <DocSecurity>0</DocSecurity>
  <Lines>39</Lines>
  <Paragraphs>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 Janda</dc:creator>
  <cp:lastModifiedBy>Projsová Ivana</cp:lastModifiedBy>
  <cp:revision>24</cp:revision>
  <cp:lastPrinted>2022-04-14T06:45:00Z</cp:lastPrinted>
  <dcterms:created xsi:type="dcterms:W3CDTF">2022-07-25T10:09:00Z</dcterms:created>
  <dcterms:modified xsi:type="dcterms:W3CDTF">2024-02-27T11:11:00Z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ies>
</file>